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082"/>
        <w:gridCol w:w="886"/>
        <w:gridCol w:w="6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708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82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</w:tc>
        <w:tc>
          <w:tcPr>
            <w:tcW w:w="886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6442" w:type="dxa"/>
            <w:vMerge w:val="restart"/>
            <w:tcBorders>
              <w:left w:val="nil"/>
              <w:bottom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708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88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70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B超医生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42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1、全日制本科及以上学历，医学影像学专业；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2、中级及以上职称，超声波医学；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3、具有综合性二级甲等及以上医院超声科工作经验；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4、45周岁以下，身体健康，沟通协调能力强。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</w:trPr>
        <w:tc>
          <w:tcPr>
            <w:tcW w:w="70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全科医生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442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1、全日制本科及以上学历，临床医学或全科医学专业；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2、中级及以上职称，全科医学或内科学；如完成3年国</w:t>
            </w:r>
            <w:bookmarkStart w:id="0" w:name="_GoBack"/>
            <w:bookmarkEnd w:id="0"/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家全科医生规范化培训（即“5+3”），并取得《全科医师规范化培训合格证书》者，可放宽为初级职称；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3、年龄45周岁以下，身体健康、沟通协调能力强；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4、具有基层社区卫生服务机构丰富工作经验者优先，年龄可适当放宽。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心血管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内科医生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42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1、全日制本科及以上学历，临床医学专业；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2、中级及以上职称，内科学；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3、理论知识扎实、临床经验丰富，具有综合性二级甲等及以上医院心血管专科工作经验，具有一定的科研教学能力；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4、年龄45周岁以下，身体健康、沟通协调能力强，经验丰富者年龄可适当放宽。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内分泌科医生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42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1、全日制本科及以上学历，临床医学专业；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2、中级及以上职称，内分泌学或内科学；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3、理论知识扎实、临床经验丰富，具有综合性二级甲等及以上医院内分泌专科工作经验，具有一定的科研教学能力；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4、年龄45周岁以下，身体健康、沟通协调能力强，经验丰富者年龄可适当放宽。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2" w:hRule="atLeast"/>
        </w:trPr>
        <w:tc>
          <w:tcPr>
            <w:tcW w:w="70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内科医生</w:t>
            </w:r>
          </w:p>
        </w:tc>
        <w:tc>
          <w:tcPr>
            <w:tcW w:w="88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42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1、全日制本科及以上学历，临床医学专业；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2、中级及以上职称，内科学；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3、理论知识扎实、临床经验丰富，具有综合性二级甲等及以上医院内科工作经验，具有一定的科研教学能力；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4、年龄45周岁以下，身体健康、沟通协调能力强，经验丰富者年龄可适当放宽。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</w:trPr>
        <w:tc>
          <w:tcPr>
            <w:tcW w:w="70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8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口腔医生</w:t>
            </w:r>
          </w:p>
        </w:tc>
        <w:tc>
          <w:tcPr>
            <w:tcW w:w="88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1、全日制本科及以上学历，口腔医学专业；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2、中级及以上职称，口腔医学；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3、具有丰富的口腔科临床工作经验；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4、45周岁以下，身体健康。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7" w:hRule="atLeast"/>
        </w:trPr>
        <w:tc>
          <w:tcPr>
            <w:tcW w:w="70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社区护士</w:t>
            </w:r>
          </w:p>
        </w:tc>
        <w:tc>
          <w:tcPr>
            <w:tcW w:w="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442" w:type="dxa"/>
            <w:tcBorders>
              <w:top w:val="single" w:color="000000" w:sz="8" w:space="0"/>
              <w:left w:val="nil"/>
              <w:bottom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1、全日制本科及以上学历，护理学专业；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2、护师及以上职称；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3、具有综合性二级甲等及以上医院工作经验；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4、年龄35周岁以下，身体健康；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5、具有心血管内科、内分泌科、口腔科或中医科等相关科室工作经验者优先。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8" w:hRule="atLeast"/>
        </w:trPr>
        <w:tc>
          <w:tcPr>
            <w:tcW w:w="70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公卫医生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442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1、全日制本科及以上学历、预防医学专业；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2、中级及以上职称；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3、35周岁以下，身体健康；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4、具有《广东省预防接种门诊工作证》和基层社区卫生服务机构工作经验者优先；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5、具有汽车驾驶证，会开手动波车辆（工作用皮卡车）者优先。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</w:trPr>
        <w:tc>
          <w:tcPr>
            <w:tcW w:w="70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儿保医生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42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1、全日制本科及以上学历，临床医学专业；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2、中级及以上职称；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3、具有从事儿保或儿科工作经验；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4、40周岁以下，身体健康。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2" w:hRule="atLeast"/>
        </w:trPr>
        <w:tc>
          <w:tcPr>
            <w:tcW w:w="70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财务人员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42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1、全日制本科及以上学历，会计、法学、金融、经济学、数学等专业；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2、40周岁及以下，身体健康；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3、责任心强，具有良好的表达能力和沟通能力；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4、擅长office等各类办公软件以及各种财务工具的基本操作和运用；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5、有从事政府采购及机关事业单位财务工作经验者优先。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4" w:hRule="atLeast"/>
        </w:trPr>
        <w:tc>
          <w:tcPr>
            <w:tcW w:w="708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宣传专员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42" w:type="dxa"/>
            <w:tcBorders>
              <w:top w:val="nil"/>
              <w:left w:val="nil"/>
              <w:bottom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1、全日制本科及以上学历，新闻传播、中文相关专业；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2、35周岁及以下，身体健康；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3、思维活跃，有创意想象力，具备策划思考能力，执行力强；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4、有较强的文字功底和能够独立撰写文案；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5、具有良好的表达能力和理解能力，擅长沟通；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6、精通office等各类办公软件的基本操作和运用，精通PPT优先；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7、有新媒体运营、视频制作经验优先。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2" w:hRule="atLeast"/>
        </w:trPr>
        <w:tc>
          <w:tcPr>
            <w:tcW w:w="708" w:type="dxa"/>
            <w:tcBorders>
              <w:top w:val="nil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后勤管理人员</w:t>
            </w:r>
          </w:p>
        </w:tc>
        <w:tc>
          <w:tcPr>
            <w:tcW w:w="886" w:type="dxa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42" w:type="dxa"/>
            <w:tcBorders>
              <w:top w:val="nil"/>
              <w:lef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424242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1、大专及以上学历；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2、40周岁及以下，身体健康；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3、责任心强，沟通协调能力强；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4、具有物业管理相关工作经验者优先。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2020-04-25T02:32:33Z</dcterms:created>
  <dc:creator>Thinkpad</dc:creator>
  <cp:lastModifiedBy>L</cp:lastModifiedBy>
  <dcterms:modified xsi:type="dcterms:W3CDTF">2020-04-25T02:35:57Z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