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450" w:beforeAutospacing="0" w:after="602" w:afterAutospacing="0" w:line="540" w:lineRule="atLeast"/>
        <w:ind w:left="0" w:right="0"/>
        <w:jc w:val="left"/>
        <w:rPr>
          <w:color w:val="424242"/>
        </w:rPr>
      </w:pPr>
      <w:r>
        <w:rPr>
          <w:rFonts w:ascii="微软雅黑" w:hAnsi="微软雅黑" w:eastAsia="微软雅黑" w:cs="微软雅黑"/>
          <w:color w:val="424242"/>
          <w:shd w:val="clear" w:fill="FFFFFF"/>
        </w:rPr>
        <w:t>按面试总成绩依次递补体检人选名单</w:t>
      </w:r>
    </w:p>
    <w:tbl>
      <w:tblPr>
        <w:tblW w:w="10095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0"/>
        <w:gridCol w:w="1471"/>
        <w:gridCol w:w="1515"/>
        <w:gridCol w:w="1515"/>
        <w:gridCol w:w="1724"/>
        <w:gridCol w:w="195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0" w:type="pc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</w:rPr>
              <w:t>　　</w:t>
            </w:r>
            <w:r>
              <w:rPr>
                <w:rStyle w:val="5"/>
                <w:rFonts w:hint="eastAsia" w:ascii="微软雅黑" w:hAnsi="微软雅黑" w:eastAsia="微软雅黑" w:cs="微软雅黑"/>
                <w:color w:val="424242"/>
              </w:rPr>
              <w:t>招聘岗位</w:t>
            </w:r>
          </w:p>
        </w:tc>
        <w:tc>
          <w:tcPr>
            <w:tcW w:w="728" w:type="pc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</w:rPr>
              <w:t>　　</w:t>
            </w:r>
            <w:r>
              <w:rPr>
                <w:rStyle w:val="5"/>
                <w:rFonts w:hint="eastAsia" w:ascii="微软雅黑" w:hAnsi="微软雅黑" w:eastAsia="微软雅黑" w:cs="微软雅黑"/>
                <w:color w:val="424242"/>
              </w:rPr>
              <w:t>招聘人数</w:t>
            </w:r>
          </w:p>
        </w:tc>
        <w:tc>
          <w:tcPr>
            <w:tcW w:w="750" w:type="pc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</w:rPr>
              <w:t>　　</w:t>
            </w:r>
            <w:r>
              <w:rPr>
                <w:rStyle w:val="5"/>
                <w:rFonts w:hint="eastAsia" w:ascii="微软雅黑" w:hAnsi="微软雅黑" w:eastAsia="微软雅黑" w:cs="微软雅黑"/>
                <w:color w:val="424242"/>
              </w:rPr>
              <w:t>姓名</w:t>
            </w:r>
          </w:p>
        </w:tc>
        <w:tc>
          <w:tcPr>
            <w:tcW w:w="750" w:type="pc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</w:rPr>
              <w:t>　　</w:t>
            </w:r>
            <w:r>
              <w:rPr>
                <w:rStyle w:val="5"/>
                <w:rFonts w:hint="eastAsia" w:ascii="微软雅黑" w:hAnsi="微软雅黑" w:eastAsia="微软雅黑" w:cs="微软雅黑"/>
                <w:color w:val="424242"/>
              </w:rPr>
              <w:t>面试成绩</w:t>
            </w:r>
          </w:p>
        </w:tc>
        <w:tc>
          <w:tcPr>
            <w:tcW w:w="853" w:type="pc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</w:rPr>
              <w:t>　　</w:t>
            </w:r>
            <w:r>
              <w:rPr>
                <w:rStyle w:val="5"/>
                <w:rFonts w:hint="eastAsia" w:ascii="微软雅黑" w:hAnsi="微软雅黑" w:eastAsia="微软雅黑" w:cs="微软雅黑"/>
                <w:color w:val="424242"/>
              </w:rPr>
              <w:t>总成绩排名</w:t>
            </w:r>
          </w:p>
        </w:tc>
        <w:tc>
          <w:tcPr>
            <w:tcW w:w="965" w:type="pc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</w:rPr>
              <w:t>　　</w:t>
            </w:r>
            <w:r>
              <w:rPr>
                <w:rStyle w:val="5"/>
                <w:rFonts w:hint="eastAsia" w:ascii="微软雅黑" w:hAnsi="微软雅黑" w:eastAsia="微软雅黑" w:cs="微软雅黑"/>
                <w:color w:val="424242"/>
              </w:rPr>
              <w:t>备注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</w:rPr>
              <w:t>　　泌尿外科医师</w:t>
            </w:r>
          </w:p>
        </w:tc>
        <w:tc>
          <w:tcPr>
            <w:tcW w:w="147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</w:rPr>
              <w:t>　　1</w:t>
            </w:r>
          </w:p>
        </w:tc>
        <w:tc>
          <w:tcPr>
            <w:tcW w:w="1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</w:rPr>
              <w:t>　　许雨生</w:t>
            </w:r>
          </w:p>
        </w:tc>
        <w:tc>
          <w:tcPr>
            <w:tcW w:w="1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</w:rPr>
              <w:t>　　80.13</w:t>
            </w:r>
          </w:p>
        </w:tc>
        <w:tc>
          <w:tcPr>
            <w:tcW w:w="17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</w:rPr>
              <w:t>　　1</w:t>
            </w:r>
          </w:p>
        </w:tc>
        <w:tc>
          <w:tcPr>
            <w:tcW w:w="19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</w:rPr>
              <w:t>　　自愿弃权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</w:rPr>
              <w:t>　　陈立新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</w:rPr>
              <w:t>　　76.54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</w:rPr>
              <w:t>　　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</w:rPr>
              <w:t>　　自愿弃权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</w:rPr>
              <w:t>　　江骏斌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</w:rPr>
              <w:t>　　76.33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</w:rPr>
              <w:t>　　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</w:rPr>
              <w:t>　　递补人员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</w:rPr>
              <w:t>　　中医骨伤科医师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</w:rPr>
              <w:t>　　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</w:rPr>
              <w:t>　　范曼琪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</w:rPr>
              <w:t>　　80.25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</w:rPr>
              <w:t>　　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</w:rPr>
              <w:t>　　自愿弃权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</w:rPr>
              <w:t>　　郑锴鹏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</w:rPr>
              <w:t>　　73.50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</w:rPr>
              <w:t>　　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color w:val="424242"/>
              </w:rPr>
              <w:t>　　递补人员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450" w:beforeAutospacing="0" w:after="602" w:afterAutospacing="0" w:line="540" w:lineRule="atLeast"/>
        <w:ind w:left="0" w:right="0"/>
        <w:jc w:val="left"/>
        <w:rPr>
          <w:color w:val="424242"/>
        </w:rPr>
      </w:pPr>
      <w:r>
        <w:rPr>
          <w:rFonts w:hint="eastAsia" w:ascii="微软雅黑" w:hAnsi="微软雅黑" w:eastAsia="微软雅黑" w:cs="微软雅黑"/>
          <w:color w:val="424242"/>
          <w:shd w:val="clear" w:fill="FFFFFF"/>
        </w:rPr>
        <w:t>　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ms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81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single"/>
    </w:rPr>
  </w:style>
  <w:style w:type="character" w:styleId="7">
    <w:name w:val="Hyperlink"/>
    <w:basedOn w:val="4"/>
    <w:uiPriority w:val="0"/>
    <w:rPr>
      <w:color w:val="000000"/>
      <w:u w:val="single"/>
    </w:rPr>
  </w:style>
  <w:style w:type="character" w:styleId="8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9">
    <w:name w:val="active2"/>
    <w:basedOn w:val="4"/>
    <w:uiPriority w:val="0"/>
    <w:rPr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2020-04-10T04:13:54Z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