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黑体" w:hAnsi="黑体" w:eastAsia="黑体" w:cs="黑体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22"/>
          <w:highlight w:val="none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　一、《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海南省考试录用公务员专业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参考目录》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（以下简称《参考目录》）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仅供我省公务员考录过程中各单位进行专业条件设置和报名、资格审核时参考使用。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三、招录机关负责对专业审核结果进行解释。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一、哲学、文学、历史学大类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1.哲学类、科学技术史类：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2.中国语言文学类：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.外国语言文学类、语言文化类：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6.表演艺术类、音乐与舞蹈学类、戏剧与影视学类：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7.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14"/>
          <w:highlight w:val="none"/>
        </w:rPr>
        <w:t> 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历史学类：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二、经济学、管理学大类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9.金融学类、财政学类、财政金融类：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10.统计学类：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11.管理科学与工程类、经济管理类：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12.工商管理类、物流管理与工程类、市场营销类：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国际企业管理，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13.旅游餐饮类、旅游管理类：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</w:rPr>
        <w:t>14.</w:t>
      </w:r>
      <w:r>
        <w:rPr>
          <w:rFonts w:hint="eastAsia" w:ascii="楷体" w:hAnsi="楷体" w:eastAsia="楷体"/>
          <w:b/>
          <w:bCs/>
          <w:color w:val="auto"/>
          <w:spacing w:val="-10"/>
          <w:kern w:val="0"/>
          <w:sz w:val="32"/>
          <w:szCs w:val="24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会计与审计类、财务会计类：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企业财务管理，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16.卫生管理类：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三、法学大类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19.法学类、法律实务类：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20.监所管理类、法律执行类：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21.马克思主义理论类：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22.社会学类：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23.民族学类、民族宗教类：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24.政治学类：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四、教育学大类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26.教育（学）类：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27.体育（学）类：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五、理学、工学、医学大类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29.数学类：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30.物理学类：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31.化学类：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</w:rPr>
        <w:t>32.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33.天文学类：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天文学，天体物理，天体测量与天体力学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34.地质（学）类：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>地质学，地球化学，矿物学，岩石学，矿床学，古生物学及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35.地理科学类：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36.地球物理学类：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37.大气科学类、气象类：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38.海洋科学类：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39.心理学类：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40.系统（科）学类：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系统理论，系统科学与工程，系统分析与集成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42. 材料科学与工程类、冶金工程类、材料类：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48. 电气类、电气自动化类、电气工程类：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49.计算机科学与技术类：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50. 计算机软件类：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51. 计算机网络技术类：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52. 计算机信息管理类：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53.计算机多媒体技术类：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54. 计算机硬件技术类：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55. 计算机专门应用类：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房屋建筑，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60.环境安全技术类、安全类：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63.交通运输装备类：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64.公路运输类：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65.铁道运输类：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66.城市轨道运输类：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67.水上运输类、海洋工程类：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68.民航运输类、航空宇航科学与技术类：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69.港口运输类：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70.管道运输类：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71.海洋工程类：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75.包装印刷类：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76. 航天航空类: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77.武器类、兵器科学与技术类：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78.力学类、工程力学类：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79.生物医学工程类：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生物医学工程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80.农业工程类：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81.林业工程类：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82.光学工程类：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83.核科学与技术类：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84.基础医学类、医学类：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85.公共卫生与预防医学类：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87.医学技术类：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88.中医学类：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89.法医学类：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90.护理学类、护理类：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</w:rPr>
        <w:t>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学，助产，护理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91.药学类：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92.中药学类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中药制药，中草药栽培与鉴定中药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六、农学大类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93.植物生产类、作物学类：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95.动物生产类、草业类：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97.水产类、水产养殖类：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七、军事学大类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98.军事学类、战略学类：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99.军事机械装备类：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100.军事测绘遥感类：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101. 军事控制测试类：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军制学类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军事装备学，军事训练学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104.航空航天指挥类：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106.保障指挥类：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107.兵器及军事工程类：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27DE"/>
    <w:rsid w:val="139B3172"/>
    <w:rsid w:val="1CF25004"/>
    <w:rsid w:val="68627E89"/>
    <w:rsid w:val="6ED427DE"/>
    <w:rsid w:val="6F007454"/>
    <w:rsid w:val="7208711D"/>
    <w:rsid w:val="78B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2018-08-30T07:14:00Z</dcterms:created>
  <dc:creator>大米饭</dc:creator>
  <cp:lastModifiedBy>少婷</cp:lastModifiedBy>
  <dcterms:modified xsi:type="dcterms:W3CDTF">2020-03-31T09:25:25Z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