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3342"/>
        <w:gridCol w:w="1405"/>
        <w:gridCol w:w="1547"/>
        <w:gridCol w:w="1539"/>
      </w:tblGrid>
      <w:tr w:rsidR="003A3375" w:rsidRPr="003A3375" w:rsidTr="003A3375">
        <w:trPr>
          <w:trHeight w:val="469"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招聘专业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专业类别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工作地点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学历要求</w:t>
            </w:r>
          </w:p>
        </w:tc>
      </w:tr>
      <w:tr w:rsidR="003A3375" w:rsidRPr="003A3375" w:rsidTr="003A3375">
        <w:trPr>
          <w:trHeight w:val="46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工程管理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管理类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北京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硕士研究生及以上</w:t>
            </w:r>
          </w:p>
        </w:tc>
      </w:tr>
      <w:tr w:rsidR="003A3375" w:rsidRPr="003A3375" w:rsidTr="003A3375">
        <w:trPr>
          <w:trHeight w:val="46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国际商务、国际贸易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管理类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北京、武汉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硕士研究生及以上</w:t>
            </w:r>
          </w:p>
        </w:tc>
      </w:tr>
      <w:tr w:rsidR="003A3375" w:rsidRPr="003A3375" w:rsidTr="003A3375">
        <w:trPr>
          <w:trHeight w:val="469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电气工程、电力系统及其自动化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电工类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北京、武汉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硕士研究生及以上</w:t>
            </w:r>
          </w:p>
        </w:tc>
      </w:tr>
      <w:tr w:rsidR="003A3375" w:rsidRPr="003A3375" w:rsidTr="003A3375">
        <w:trPr>
          <w:trHeight w:val="478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国际法学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其他专业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北京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硕士研究生及以上</w:t>
            </w:r>
          </w:p>
        </w:tc>
      </w:tr>
      <w:tr w:rsidR="003A3375" w:rsidRPr="003A3375" w:rsidTr="003A3375">
        <w:trPr>
          <w:trHeight w:val="478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会计学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金融财务类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武汉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75" w:rsidRPr="003A3375" w:rsidRDefault="003A3375" w:rsidP="003A337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3375">
              <w:rPr>
                <w:rFonts w:ascii="宋体" w:eastAsia="宋体" w:hAnsi="宋体" w:cs="宋体"/>
                <w:sz w:val="32"/>
                <w:szCs w:val="32"/>
              </w:rPr>
              <w:t>大学本科及以上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3375"/>
    <w:rsid w:val="001F7F8D"/>
    <w:rsid w:val="00323B43"/>
    <w:rsid w:val="003A3375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2020-04-01T03:37:00Z</dcterms:created>
  <dcterms:modified xsi:type="dcterms:W3CDTF">2020-04-01T03:38:00Z</dcterms:modified>
</cp:coreProperties>
</file>