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2020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年福建省食品药品认证审评中心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合同制专业技术人员岗位信息表</w:t>
      </w:r>
    </w:p>
    <w:tbl>
      <w:tblPr>
        <w:tblStyle w:val="5"/>
        <w:tblpPr w:leftFromText="180" w:rightFromText="180" w:vertAnchor="text" w:horzAnchor="page" w:tblpXSpec="center" w:tblpY="621"/>
        <w:tblOverlap w:val="never"/>
        <w:tblW w:w="15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981"/>
        <w:gridCol w:w="5399"/>
        <w:gridCol w:w="1320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01药品注册审评员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中药学、中药制药学、中药药理学、中药药剂学、中药生药学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全日制普通高等院校研究生学历，硕士及以上学位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3.具有药品生产、研发、检验或质量管理工作经验者优先。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02化妆品审评员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化学工程与工艺，化学工程，化学工艺，应用化学，应用化工技术，有机化工生产技术，精细化学品生产技术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03有源医疗器械技术审评员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器械工程、生物医学工程、电气工程及其自动化（弱电方向）、电气工程与自动化（弱电方向）、电气自动化（弱电方向）、电子信息工程、电子与信息技术、电路与系统、机械电子工程、电磁场与无线技术、无线电技术、电子与通信工程，信号与信息处理，精密仪器及机械，测试计量技术及仪器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3.医疗器械相关研究方向的优先；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4.具有医疗器械设计、生产、检测、质量管理等相关工作经验者优先。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04体外诊断试剂技术审评员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流行病与卫生统计学、公共卫生与预防医学、公共卫生、卫生检验、卫生毒理学、劳动卫生与环境卫生、儿少卫生与妇幼保健卫生、临床检验诊断学、生物化学与分子生物学、分子生物医学、医学实验学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05药品GMP检查员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微生物与生化药学、生化制药技术、生物化学与分子生物学、生物医学工程、生物制药工程、生物与医药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全日制普通高等院校本科及以上学历，学士及以上学位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2.本岗位需适应出差，适合男性；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4.研究生具有药品生产、研发、质量管理或监管工作经验者优先。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06药品GMP检查员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中药学、中药制药学、中药药理学、中药药剂学、中药生药学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07药品注册核查员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药学、药剂学、药物制剂、制药工程、药物分析、中药学、中药制药学、中药药剂学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08药品GSP检查员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药学、药剂学、药物制剂、制药工程、药物分析、中药学、中药制药学、中药药理学、中药药剂学、中药生药学、药品经营管理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4.研究生具有药品经营、质量管理或监管工作经验者优先。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09化妆品检查员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化学工程与工艺，化学工程，化学工艺，应用化学，应用化工技术，有机化工生产技术，精细化学品生产技术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4.研究生具有相关工作经验者优先。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10化妆品检查员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中药学、中药制药学、中药药理学、中药药剂学、中药生药学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11化妆品检查员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药学、药剂学、药物制剂、制药工程、药物分析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12医疗器械现场检查员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生物医学工程、医疗器械制造与维护、医学影像设备管理与维护、医学影像技术、医学影像工程、医学影像学、医疗仪器维修技术、康复医学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全日制普通高等院校本科及以上学历，学士及以上学位</w:t>
            </w:r>
          </w:p>
        </w:tc>
        <w:tc>
          <w:tcPr>
            <w:tcW w:w="54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2.本岗位需适应出差，适合男性；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3.本科生需有三年及以上相关工作经验;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4.研究生具有相关工作经验者优先。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13医疗器械现场检查员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气工程及其自动化、电气工程与自动化、电气自动化、电子信息工程、电子与信息技术、电路与系统、机械电子工程、电磁场与无线技术、无线电技术、电子与通信工程，信号与信息处理，精密仪器及机械，测试计量技术及仪器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14体外诊断试剂现场检查员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生物化学与分子生物学、细胞生物学、病原生物学、微生物学、微生物与生化药学、生物科学、生化制药技术、生物制药工程、生物与医药、生物医学工程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15体外诊断试剂现场检查员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临床检验诊断学、卫生检验、预防医学、公共卫生与预防医学、分子生物医学、医学实验学、医学检验技术、医学实验技术、病理学、卫生检验与检疫（技术）、妇幼保健医学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16体外诊断试剂现场检查员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药学、药剂学、药物制剂、制药工程、药物分析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077" w:right="1304" w:bottom="96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plified Arabic Fixed">
    <w:panose1 w:val="02070309020205020404"/>
    <w:charset w:val="00"/>
    <w:family w:val="modern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176C"/>
    <w:rsid w:val="00B201CE"/>
    <w:rsid w:val="067C0FCF"/>
    <w:rsid w:val="069449B6"/>
    <w:rsid w:val="0D4673F3"/>
    <w:rsid w:val="0F46503C"/>
    <w:rsid w:val="0FA83A7D"/>
    <w:rsid w:val="110F5667"/>
    <w:rsid w:val="1251270D"/>
    <w:rsid w:val="161B7F45"/>
    <w:rsid w:val="1776069D"/>
    <w:rsid w:val="1BDD09C2"/>
    <w:rsid w:val="1EB12B89"/>
    <w:rsid w:val="1EF93CDC"/>
    <w:rsid w:val="244420B4"/>
    <w:rsid w:val="257867E2"/>
    <w:rsid w:val="258813A2"/>
    <w:rsid w:val="26895F5B"/>
    <w:rsid w:val="2B4674F4"/>
    <w:rsid w:val="31EA5AB2"/>
    <w:rsid w:val="338E6647"/>
    <w:rsid w:val="34534384"/>
    <w:rsid w:val="347126D6"/>
    <w:rsid w:val="35F80662"/>
    <w:rsid w:val="38575E66"/>
    <w:rsid w:val="3D051A4C"/>
    <w:rsid w:val="3D3C46BC"/>
    <w:rsid w:val="3D6E634E"/>
    <w:rsid w:val="405D1774"/>
    <w:rsid w:val="410A6FE1"/>
    <w:rsid w:val="427259D1"/>
    <w:rsid w:val="48CD3C93"/>
    <w:rsid w:val="492B3FF1"/>
    <w:rsid w:val="4A437BB9"/>
    <w:rsid w:val="4B9760FC"/>
    <w:rsid w:val="54F27420"/>
    <w:rsid w:val="59F00082"/>
    <w:rsid w:val="5C9532D1"/>
    <w:rsid w:val="5D0938CF"/>
    <w:rsid w:val="5D7F176C"/>
    <w:rsid w:val="5FEE51E5"/>
    <w:rsid w:val="62225798"/>
    <w:rsid w:val="6E0010E6"/>
    <w:rsid w:val="70E9237E"/>
    <w:rsid w:val="72290242"/>
    <w:rsid w:val="745E7C3E"/>
    <w:rsid w:val="7B712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2018-02-14T08:37:00Z</dcterms:created>
  <dc:creator>认证审评</dc:creator>
  <cp:lastModifiedBy>Lenovo</cp:lastModifiedBy>
  <cp:lastPrinted>2020-03-26T01:21:45Z</cp:lastPrinted>
  <dcterms:modified xsi:type="dcterms:W3CDTF">2020-03-26T02:47:18Z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