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台州市公共交通集团有限公司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关于下属子公司公开招聘工作人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员的公告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因工作需要，台州市公共交通集团有限公司下属竞争性子公司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州市公交广告传媒有限公司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、台州市公务用车服务有限公司、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</w:rPr>
        <w:t>州市城乡公交一卡通有限公司</w:t>
      </w:r>
      <w:r>
        <w:rPr>
          <w:rFonts w:hint="eastAsia" w:ascii="仿宋_GB2312" w:hAnsi="Times New Roman" w:eastAsia="仿宋_GB2312"/>
          <w:sz w:val="32"/>
          <w:szCs w:val="32"/>
        </w:rPr>
        <w:t>面向社会公开招聘工作人员共7名，具体事项公告如下：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</w:t>
      </w:r>
      <w:r>
        <w:rPr>
          <w:rFonts w:hint="eastAsia" w:ascii="黑体" w:hAnsi="黑体" w:eastAsia="黑体" w:cs="黑体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1.拥护中国共产党的领导，热爱社会主义，遵纪守法，品行端正；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2.具备报考岗位所需的学历、资历、专业或技能条件；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3.具有适应岗位要求的年龄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、健康</w:t>
      </w:r>
      <w:r>
        <w:rPr>
          <w:rFonts w:hint="eastAsia" w:ascii="仿宋_GB2312" w:hAnsi="Times New Roman" w:eastAsia="仿宋_GB2312"/>
          <w:sz w:val="32"/>
          <w:szCs w:val="32"/>
        </w:rPr>
        <w:t>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4.具有岗位所需的其他条件。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二、招聘岗位和具体岗位要求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详见《台州市公共交通集团有限公司下属子公司公开招聘工作人员计划表》（附件1）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三、招聘程序及办法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（一）信息发布平台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台州市国资委网站: http://gzw.zjtz.gov.cn；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台州公交集团网站：http://www.tzgjjt.com；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招聘后续等其他相</w:t>
      </w:r>
      <w:r>
        <w:rPr>
          <w:rFonts w:hint="eastAsia" w:ascii="仿宋_GB2312" w:hAnsi="Times New Roman" w:eastAsia="仿宋_GB2312"/>
          <w:sz w:val="32"/>
          <w:szCs w:val="32"/>
        </w:rPr>
        <w:t>关信息将在“台州市国资委网站”和“台州公交集团网站”予以发布。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（二）报名和资格审查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1.报名时间与方式：2020年4月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一天</w:t>
      </w:r>
      <w:r>
        <w:rPr>
          <w:rFonts w:hint="eastAsia" w:ascii="仿宋_GB2312" w:hAnsi="Times New Roman" w:eastAsia="仿宋_GB2312"/>
          <w:sz w:val="32"/>
          <w:szCs w:val="32"/>
        </w:rPr>
        <w:t>（上午8:30--12:00,下午14:00--17:00），采用现场报名形式。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台州市公交广告传媒有限公司：</w:t>
      </w:r>
      <w:r>
        <w:rPr>
          <w:rFonts w:hint="eastAsia" w:ascii="仿宋_GB2312" w:hAnsi="Times New Roman" w:eastAsia="仿宋_GB2312"/>
          <w:sz w:val="32"/>
          <w:szCs w:val="32"/>
        </w:rPr>
        <w:t>黄岩区江口街道前洋王台州公交集团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附楼一楼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</w:rPr>
        <w:t>广告公司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</w:t>
      </w:r>
      <w:r>
        <w:rPr>
          <w:rFonts w:hint="eastAsia" w:ascii="仿宋_GB2312" w:hAnsi="仿宋_GB2312" w:eastAsia="仿宋_GB2312" w:cs="仿宋_GB2312"/>
          <w:color w:val="111F2C"/>
          <w:sz w:val="32"/>
          <w:szCs w:val="32"/>
          <w:shd w:val="clear" w:color="auto" w:fill="FFFFFF"/>
          <w:lang w:eastAsia="zh-CN"/>
        </w:rPr>
        <w:t>办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t>台州市公务用车服务有限公司：椒江区黄海公路588号台州客运总站办公大楼206室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t>台州市城乡公交一卡通有限公司：台州市椒江区景元东路688号二楼综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报名材料：持本人有效身份证、学历学位（附学信网验证报告，留学人员须提供教育部中国留学服务中心认证的《国外学历学位认证书》)、工作经历证明、报名表（附件2）等材料的原件及复印件。有工作经历证明的还需提供社保缴费证明原件（有社保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资格审查：报名材料不全者不予审核；报名人员在资格审查中提交的报名信息和材料应当真实、准确、有效；凡提供虚假信息和材料获取报考及聘用资格的，或有意隐瞒本人真实情况的，一经查实，即取消报考资格或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原则上同一岗位的报考人数与招聘计划数不得低于3:1的比例，若报考人数不足岗位需求人数3:1时，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由各子公司视情商定并报集团审核同意，可</w:t>
      </w:r>
      <w:r>
        <w:rPr>
          <w:rFonts w:hint="eastAsia" w:ascii="仿宋_GB2312" w:hAnsi="Times New Roman" w:eastAsia="仿宋_GB2312"/>
          <w:sz w:val="32"/>
          <w:szCs w:val="32"/>
        </w:rPr>
        <w:t>根据实际报名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人数组织考试。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考试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统一</w:t>
      </w:r>
      <w:r>
        <w:rPr>
          <w:rFonts w:hint="eastAsia" w:ascii="仿宋_GB2312" w:hAnsi="Times New Roman" w:eastAsia="仿宋_GB2312"/>
          <w:sz w:val="32"/>
          <w:szCs w:val="32"/>
        </w:rPr>
        <w:t>采用面试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面谈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方式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，由各子公司自行组织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/>
          <w:sz w:val="32"/>
          <w:szCs w:val="32"/>
        </w:rPr>
        <w:t>成绩满分为100分。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（四）体检与考核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根据报考人员成绩，按招聘岗位1:1的比例从高分到低分确定拟聘用人员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，进一步安排</w:t>
      </w:r>
      <w:r>
        <w:rPr>
          <w:rFonts w:hint="eastAsia" w:ascii="仿宋_GB2312" w:hAnsi="Times New Roman" w:eastAsia="仿宋_GB2312"/>
          <w:sz w:val="32"/>
          <w:szCs w:val="32"/>
        </w:rPr>
        <w:t>体检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和考核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(五）聘用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体检与考核均合格人员，确定为拟聘用人员，经公示5个工作日后，无异议或反映有问题经查实不影响聘用的，按程序办理聘用手续。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本次招聘录用的</w:t>
      </w:r>
      <w:r>
        <w:rPr>
          <w:rFonts w:hint="eastAsia" w:ascii="仿宋_GB2312" w:hAnsi="Times New Roman" w:eastAsia="仿宋_GB2312"/>
          <w:sz w:val="32"/>
          <w:szCs w:val="32"/>
        </w:rPr>
        <w:t>工作人员一律实行劳动合同制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（与</w:t>
      </w:r>
      <w:r>
        <w:rPr>
          <w:rFonts w:hint="eastAsia" w:ascii="仿宋_GB2312" w:hAnsi="Times New Roman" w:eastAsia="仿宋_GB2312"/>
          <w:sz w:val="32"/>
          <w:szCs w:val="32"/>
        </w:rPr>
        <w:t>公交集团下属各竞争性子公司签订劳动合同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），</w:t>
      </w:r>
      <w:r>
        <w:rPr>
          <w:rFonts w:hint="eastAsia" w:ascii="仿宋_GB2312" w:hAnsi="Times New Roman" w:eastAsia="仿宋_GB2312"/>
          <w:sz w:val="32"/>
          <w:szCs w:val="32"/>
        </w:rPr>
        <w:t>人员性质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与所属竞争性子公司合同制同类人员相同；</w:t>
      </w:r>
      <w:r>
        <w:rPr>
          <w:rFonts w:hint="eastAsia" w:ascii="仿宋_GB2312" w:hAnsi="Times New Roman" w:eastAsia="仿宋_GB2312"/>
          <w:sz w:val="32"/>
          <w:szCs w:val="32"/>
        </w:rPr>
        <w:t>薪酬待遇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按各竞争性子公司的薪酬管理办法执行；后续的劳动关系存续或解除等管理工作，实行招聘单位负责制，并依法依规处理。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此次招聘岗位所涉及</w:t>
      </w:r>
      <w:r>
        <w:rPr>
          <w:rFonts w:hint="eastAsia" w:ascii="仿宋_GB2312" w:hAnsi="Times New Roman" w:eastAsia="仿宋_GB2312"/>
          <w:sz w:val="32"/>
          <w:szCs w:val="32"/>
        </w:rPr>
        <w:t>年龄以及工作年限的计算，时间统一截止到2020年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，出生日期以居民身份证为准。在全日制高校就读期间参加的社会实践、实习、兼职等，不视为工作经历。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2.在体检、考核、公示等环节，如发现不符合要求的，不予聘用。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3.请报考人员务必准确填写联系电话，并保持通讯畅通。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4.报考人员对招聘相关信息有异议的，可在公布之日起3日内向台州市公共交通集团有限公司人力资源部反映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0576-81111035；联系人：胡女士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，以便及时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核实反馈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黑体" w:hAnsi="黑体" w:eastAsia="黑体" w:cs="黑体"/>
          <w:sz w:val="32"/>
          <w:szCs w:val="32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台州市公交广告传媒有限公司咨询电话：0576-81115666；联系人：吴先生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台州市公务用车服务有限公司咨询电话：0576-88518005；联系人：翁先生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台州市城乡公交一卡通有限公司</w:t>
      </w:r>
      <w:r>
        <w:rPr>
          <w:rFonts w:hint="eastAsia" w:ascii="仿宋_GB2312" w:hAnsi="Times New Roman" w:eastAsia="仿宋_GB2312"/>
          <w:sz w:val="32"/>
          <w:szCs w:val="32"/>
        </w:rPr>
        <w:t xml:space="preserve">咨询电话：0576-88678993；联系人：刘女士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1.台州市公共交通集团有限公司下属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竞争性</w:t>
      </w:r>
      <w:r>
        <w:rPr>
          <w:rFonts w:hint="eastAsia" w:ascii="仿宋_GB2312" w:hAnsi="Times New Roman" w:eastAsia="仿宋_GB2312"/>
          <w:sz w:val="32"/>
          <w:szCs w:val="32"/>
        </w:rPr>
        <w:t>子公司公开招聘工作人员计划表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2.台州市公共交通集团有限公司下属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竞争性</w:t>
      </w:r>
      <w:r>
        <w:rPr>
          <w:rFonts w:hint="eastAsia" w:ascii="仿宋_GB2312" w:hAnsi="Times New Roman" w:eastAsia="仿宋_GB2312"/>
          <w:sz w:val="32"/>
          <w:szCs w:val="32"/>
        </w:rPr>
        <w:t>子公司公开招聘工作人员报名表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  <w:t>台州市公共交通集团有限公司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  <w:t>下属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  <w:lang w:eastAsia="zh-CN"/>
        </w:rPr>
        <w:t>竞争性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  <w:t>子公司公开招聘工作人员计划表</w:t>
      </w:r>
    </w:p>
    <w:p>
      <w:pPr>
        <w:pStyle w:val="2"/>
        <w:spacing w:before="312" w:after="312" w:line="120" w:lineRule="exact"/>
      </w:pPr>
    </w:p>
    <w:tbl>
      <w:tblPr>
        <w:tblStyle w:val="7"/>
        <w:tblW w:w="8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567"/>
        <w:gridCol w:w="709"/>
        <w:gridCol w:w="4536"/>
        <w:gridCol w:w="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单 位                 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招聘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人数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招聘要求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台州市公交广告传媒有限公司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营销</w:t>
            </w:r>
          </w:p>
          <w:p>
            <w:pPr>
              <w:widowControl/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主管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eastAsia="zh-CN"/>
              </w:rPr>
              <w:t>男性，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40周岁及以下，本科及以上学历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专业不限，5年以上相关行业营销工作经验，具备与职务相对的工作能力，熟悉广告业务相关的调研分析、策略制订及文案撰写工作，能提供系统化、合理化的策划方案；具有较强的组织协调和商务谈判能力及项目独立运作经验。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2"/>
              </w:tabs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营销</w:t>
            </w:r>
          </w:p>
          <w:p>
            <w:pPr>
              <w:widowControl/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eastAsia="zh-CN"/>
              </w:rPr>
              <w:t>男性，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40周岁及以下，本科及以上学历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专业不限，5年以上相关行业营销工作经验，熟悉广告行业相关知识，具有较强的拓展能力、执行能力和客户协助能力及广泛的社会交往和客户群体。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2"/>
              </w:tabs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设计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主管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/>
              </w:rPr>
              <w:t>女性，30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周岁及以下，本科及以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上学历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广告学、广告设计等相关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</w:rPr>
              <w:t>专业，5年以上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广告设计工作经验，有独立完成广告设计全案的设计能力，熟悉运用Gif图片制作软件、图形处理软件Photoshop、矢量软件Illustrator CorelDraw 、排版设计软件Indesign等流行设计软件，熟练运用office办公软件，具有一定的创意宣传能力。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2"/>
              </w:tabs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台州市公务用车服务有限公司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办公室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文员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eastAsia="zh-CN"/>
              </w:rPr>
              <w:t>男性，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40周岁及以下，本科及以上学历，专业不限，3年及以上办公室相关工作经验，且具备较强的文案编辑能力，良好的人际沟通、组织协调能力，发现并分析和解决问题的能力。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台州市城乡公交一卡通有限公司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销售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eastAsia="zh-CN"/>
              </w:rPr>
              <w:t>男性，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40周岁及以下，本科及以上学历，专业不限，3年以上销售相关工作经验，具备一定的市场分析、营销、推广能力和良好的人际沟通、协调能力，分析和解决问题的能力。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技术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eastAsia="zh-CN"/>
              </w:rPr>
              <w:t>男性，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35周岁及以下，本科及以上学历，计算机、信息技术等相关专业，2年以上相关工作经验，熟悉电脑软硬件维护，熟练使用OFFICE（Word、Excel、PPT等）软件；熟悉使用MATLAB编程软件、PS软件，基本掌握AutoCAD软件。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00" w:lineRule="exact"/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  <w:t>台州市公共交通集团有限公司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  <w:t>下属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  <w:lang w:eastAsia="zh-CN"/>
        </w:rPr>
        <w:t>竞争性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  <w:t>子公司公开招聘工作人员报名表</w:t>
      </w:r>
    </w:p>
    <w:tbl>
      <w:tblPr>
        <w:tblStyle w:val="7"/>
        <w:tblW w:w="925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833"/>
        <w:gridCol w:w="1146"/>
        <w:gridCol w:w="1146"/>
        <w:gridCol w:w="1091"/>
        <w:gridCol w:w="1211"/>
        <w:gridCol w:w="21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833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4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114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民族</w:t>
            </w:r>
          </w:p>
        </w:tc>
        <w:tc>
          <w:tcPr>
            <w:tcW w:w="12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4" w:type="dxa"/>
            <w:vMerge w:val="restart"/>
            <w:tcBorders>
              <w:top w:val="inset" w:color="000000" w:sz="8" w:space="0"/>
              <w:left w:val="single" w:color="auto" w:sz="4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照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片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833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4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14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12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4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何时何校毕业</w:t>
            </w:r>
          </w:p>
        </w:tc>
        <w:tc>
          <w:tcPr>
            <w:tcW w:w="3125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9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12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4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户籍所在地</w:t>
            </w:r>
          </w:p>
        </w:tc>
        <w:tc>
          <w:tcPr>
            <w:tcW w:w="1979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4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家庭地址</w:t>
            </w:r>
          </w:p>
        </w:tc>
        <w:tc>
          <w:tcPr>
            <w:tcW w:w="2302" w:type="dxa"/>
            <w:gridSpan w:val="2"/>
            <w:tcBorders>
              <w:top w:val="inset" w:color="000000" w:sz="8" w:space="0"/>
              <w:left w:val="single" w:color="auto" w:sz="4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4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11" w:type="dxa"/>
            <w:vMerge w:val="restart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1979" w:type="dxa"/>
            <w:gridSpan w:val="2"/>
            <w:vMerge w:val="restart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46" w:type="dxa"/>
            <w:vMerge w:val="restart"/>
            <w:tcBorders>
              <w:top w:val="inset" w:color="000000" w:sz="8" w:space="0"/>
              <w:left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4416" w:type="dxa"/>
            <w:gridSpan w:val="3"/>
            <w:tcBorders>
              <w:top w:val="inset" w:color="000000" w:sz="8" w:space="0"/>
              <w:left w:val="single" w:color="auto" w:sz="4" w:space="0"/>
              <w:bottom w:val="single" w:color="auto" w:sz="4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11" w:type="dxa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46" w:type="dxa"/>
            <w:vMerge w:val="continue"/>
            <w:tcBorders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16" w:type="dxa"/>
            <w:gridSpan w:val="3"/>
            <w:tcBorders>
              <w:top w:val="single" w:color="auto" w:sz="4" w:space="0"/>
              <w:left w:val="single" w:color="auto" w:sz="4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报考子公司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（岗位）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个 人 简 历 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专业技术资格或职业能力资格及取得时间 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近5年内受过的奖励或处分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家庭主要成员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基本情况  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所在单位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报考意见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（签字或盖章）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应聘者签名 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pStyle w:val="2"/>
        <w:spacing w:beforeLines="0" w:afterLines="0" w:line="540" w:lineRule="exact"/>
        <w:jc w:val="both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  <w:t>注：此表须如实填写，如有弄虚作假，一经查实，取消资格。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14FA5"/>
    <w:rsid w:val="00047A15"/>
    <w:rsid w:val="000666E9"/>
    <w:rsid w:val="000823C8"/>
    <w:rsid w:val="000B45E7"/>
    <w:rsid w:val="000D5458"/>
    <w:rsid w:val="00130029"/>
    <w:rsid w:val="001346CE"/>
    <w:rsid w:val="0018177D"/>
    <w:rsid w:val="00186526"/>
    <w:rsid w:val="001F1908"/>
    <w:rsid w:val="00304DDE"/>
    <w:rsid w:val="00354E63"/>
    <w:rsid w:val="00364958"/>
    <w:rsid w:val="00384C7F"/>
    <w:rsid w:val="00454D82"/>
    <w:rsid w:val="00510308"/>
    <w:rsid w:val="005502AA"/>
    <w:rsid w:val="006117F1"/>
    <w:rsid w:val="00623D72"/>
    <w:rsid w:val="006575B8"/>
    <w:rsid w:val="00664FC0"/>
    <w:rsid w:val="00680613"/>
    <w:rsid w:val="00745513"/>
    <w:rsid w:val="00782A02"/>
    <w:rsid w:val="00785AB7"/>
    <w:rsid w:val="008254A3"/>
    <w:rsid w:val="00852F34"/>
    <w:rsid w:val="00860B1E"/>
    <w:rsid w:val="00867AA7"/>
    <w:rsid w:val="00A248B2"/>
    <w:rsid w:val="00A75596"/>
    <w:rsid w:val="00AF784D"/>
    <w:rsid w:val="00B36DAD"/>
    <w:rsid w:val="00B85EE3"/>
    <w:rsid w:val="00BD24E0"/>
    <w:rsid w:val="00C30C9E"/>
    <w:rsid w:val="00C60DB9"/>
    <w:rsid w:val="00D33648"/>
    <w:rsid w:val="00D339A2"/>
    <w:rsid w:val="00D97364"/>
    <w:rsid w:val="00E03175"/>
    <w:rsid w:val="00E04073"/>
    <w:rsid w:val="00EB2F3A"/>
    <w:rsid w:val="00F250EA"/>
    <w:rsid w:val="00F425AB"/>
    <w:rsid w:val="06B32B3E"/>
    <w:rsid w:val="0A5C652D"/>
    <w:rsid w:val="0B314FA5"/>
    <w:rsid w:val="10BF342F"/>
    <w:rsid w:val="137154A8"/>
    <w:rsid w:val="15BE30A0"/>
    <w:rsid w:val="17F10471"/>
    <w:rsid w:val="19207BDB"/>
    <w:rsid w:val="275D15B1"/>
    <w:rsid w:val="27B5717A"/>
    <w:rsid w:val="2A162E1E"/>
    <w:rsid w:val="2B2F36EB"/>
    <w:rsid w:val="2CBA2EDF"/>
    <w:rsid w:val="2EFA5EA0"/>
    <w:rsid w:val="2F7F6E71"/>
    <w:rsid w:val="300D0733"/>
    <w:rsid w:val="3645527E"/>
    <w:rsid w:val="36E33369"/>
    <w:rsid w:val="37E77726"/>
    <w:rsid w:val="3886535E"/>
    <w:rsid w:val="38B86C6E"/>
    <w:rsid w:val="3DCC3476"/>
    <w:rsid w:val="446F1B60"/>
    <w:rsid w:val="495A73BE"/>
    <w:rsid w:val="49E61787"/>
    <w:rsid w:val="4C5F7892"/>
    <w:rsid w:val="50AE5F79"/>
    <w:rsid w:val="53C7216A"/>
    <w:rsid w:val="54D52257"/>
    <w:rsid w:val="56D5757D"/>
    <w:rsid w:val="5A911AE7"/>
    <w:rsid w:val="5CCB20C4"/>
    <w:rsid w:val="5DCB0635"/>
    <w:rsid w:val="61643B33"/>
    <w:rsid w:val="61AF7B24"/>
    <w:rsid w:val="61F4668C"/>
    <w:rsid w:val="62DE6FE5"/>
    <w:rsid w:val="652E0878"/>
    <w:rsid w:val="657D6629"/>
    <w:rsid w:val="66417DAE"/>
    <w:rsid w:val="684F4F9D"/>
    <w:rsid w:val="69AC4C4C"/>
    <w:rsid w:val="6CF41D77"/>
    <w:rsid w:val="6EA90341"/>
    <w:rsid w:val="73601E49"/>
    <w:rsid w:val="73833B74"/>
    <w:rsid w:val="751C494B"/>
    <w:rsid w:val="7B4E02CF"/>
    <w:rsid w:val="7EE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  <w:style w:type="table" w:styleId="8">
    <w:name w:val="Table Grid"/>
    <w:basedOn w:val="7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F2519-7376-4612-8D3E-8C5D13A90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438</Words>
  <Characters>2502</Characters>
  <Lines>20</Lines>
  <Paragraphs>5</Paragraphs>
  <TotalTime>11</TotalTime>
  <ScaleCrop>false</ScaleCrop>
  <LinksUpToDate>false</LinksUpToDate>
  <CharactersWithSpaces>2935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2020-03-27T12:12:00Z</dcterms:created>
  <dc:creator>Administrator</dc:creator>
  <cp:lastModifiedBy>Administrator</cp:lastModifiedBy>
  <cp:lastPrinted>2020-03-30T03:54:00Z</cp:lastPrinted>
  <dcterms:modified xsi:type="dcterms:W3CDTF">2020-03-30T06:15:39Z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