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3"/>
        <w:gridCol w:w="1360"/>
        <w:gridCol w:w="855"/>
        <w:gridCol w:w="3694"/>
        <w:gridCol w:w="13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岗位分类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选聘专业及学历（学位）要求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综合类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应用经济学一级学科专业；研究生学历、硕士及以上学位。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大气科学一级学科专业；研究生学历、硕士及以上学位。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化学工程与技术一级学科专业；研究生学历、硕士及以上学位。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计算机科学与技术、软件工程一级学科专业；研究生学历、硕士及以上学位。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中国语言文学一级学科专业；研究生学历、硕士及以上学位。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新闻传播学、新闻与传播一级学科专业；研究生学历、硕士及以上学位。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工商管理一级学科专业；研究生学历、硕士及以上学位。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法学、法律一级学科专业；研究生学历、硕士及以上学位。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土木工程一级学科专业；研究生学历、硕士及以上学位。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建筑学一级学科专业；研究生学历、硕士及以上学位。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岗位十一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水利工程一级学科专业；研究生学历、硕士及以上学位。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54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医学类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临床医生（1）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临床医学一级学科专业；研究生学历、博士学位。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本科为全日制临床医学专业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临床医生（2）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临床医学一级学科专业；研究生学历、硕士及以上学位。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本科为全日制临床医学专业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影像诊断医生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影像医学与核医学二级学科专业；研究生学历、硕士及以上学位。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口腔医生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口腔临床医学二级学科专业；研究生学历、硕士及以上学位。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康复医生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sz w:val="24"/>
                <w:szCs w:val="24"/>
                <w:bdr w:val="none" w:color="auto" w:sz="0" w:space="0"/>
              </w:rPr>
              <w:t>康复医学与理疗学二级学科专业；研究生学历、硕士及以上学位。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4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42026"/>
    <w:rsid w:val="17D24235"/>
    <w:rsid w:val="65F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2020-03-26T01:11:00Z</dcterms:created>
  <dc:creator>ぺ灬cc果冻ル</dc:creator>
  <cp:lastModifiedBy>ぺ灬cc果冻ル</cp:lastModifiedBy>
  <dcterms:modified xsi:type="dcterms:W3CDTF">2020-03-26T01:15:59Z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