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18" w:rsidRPr="00532018" w:rsidRDefault="00532018" w:rsidP="00532018">
      <w:pPr>
        <w:adjustRightInd/>
        <w:snapToGrid/>
        <w:spacing w:after="0"/>
        <w:rPr>
          <w:rFonts w:ascii="宋体" w:eastAsia="宋体" w:hAnsi="宋体" w:cs="宋体"/>
          <w:sz w:val="24"/>
          <w:szCs w:val="24"/>
        </w:rPr>
      </w:pPr>
    </w:p>
    <w:tbl>
      <w:tblPr>
        <w:tblW w:w="8820" w:type="dxa"/>
        <w:tblInd w:w="-318" w:type="dxa"/>
        <w:shd w:val="clear" w:color="auto" w:fill="FFFFFF"/>
        <w:tblCellMar>
          <w:left w:w="0" w:type="dxa"/>
          <w:right w:w="0" w:type="dxa"/>
        </w:tblCellMar>
        <w:tblLook w:val="04A0"/>
      </w:tblPr>
      <w:tblGrid>
        <w:gridCol w:w="1965"/>
        <w:gridCol w:w="1065"/>
        <w:gridCol w:w="1650"/>
        <w:gridCol w:w="735"/>
        <w:gridCol w:w="3405"/>
      </w:tblGrid>
      <w:tr w:rsidR="00532018" w:rsidRPr="00532018" w:rsidTr="00532018">
        <w:trPr>
          <w:tblHeader/>
        </w:trPr>
        <w:tc>
          <w:tcPr>
            <w:tcW w:w="19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jc w:val="center"/>
              <w:rPr>
                <w:rFonts w:ascii="微软雅黑" w:hAnsi="微软雅黑" w:cs="宋体"/>
                <w:b/>
                <w:bCs/>
                <w:color w:val="000000"/>
                <w:sz w:val="23"/>
                <w:szCs w:val="23"/>
              </w:rPr>
            </w:pPr>
            <w:r w:rsidRPr="00532018">
              <w:rPr>
                <w:rFonts w:ascii="微软雅黑" w:hAnsi="微软雅黑" w:cs="宋体" w:hint="eastAsia"/>
                <w:b/>
                <w:bCs/>
                <w:color w:val="000000"/>
                <w:sz w:val="23"/>
                <w:szCs w:val="23"/>
              </w:rPr>
              <w:t>创新团队</w:t>
            </w:r>
          </w:p>
        </w:tc>
        <w:tc>
          <w:tcPr>
            <w:tcW w:w="10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jc w:val="center"/>
              <w:rPr>
                <w:rFonts w:ascii="微软雅黑" w:hAnsi="微软雅黑" w:cs="宋体"/>
                <w:b/>
                <w:bCs/>
                <w:color w:val="000000"/>
                <w:sz w:val="23"/>
                <w:szCs w:val="23"/>
              </w:rPr>
            </w:pPr>
            <w:r w:rsidRPr="00532018">
              <w:rPr>
                <w:rFonts w:ascii="微软雅黑" w:hAnsi="微软雅黑" w:cs="宋体" w:hint="eastAsia"/>
                <w:b/>
                <w:bCs/>
                <w:color w:val="000000"/>
                <w:sz w:val="23"/>
                <w:szCs w:val="23"/>
              </w:rPr>
              <w:t>学科领域</w:t>
            </w:r>
          </w:p>
        </w:tc>
        <w:tc>
          <w:tcPr>
            <w:tcW w:w="16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jc w:val="center"/>
              <w:rPr>
                <w:rFonts w:ascii="微软雅黑" w:hAnsi="微软雅黑" w:cs="宋体"/>
                <w:b/>
                <w:bCs/>
                <w:color w:val="000000"/>
                <w:sz w:val="23"/>
                <w:szCs w:val="23"/>
              </w:rPr>
            </w:pPr>
            <w:r w:rsidRPr="00532018">
              <w:rPr>
                <w:rFonts w:ascii="微软雅黑" w:hAnsi="微软雅黑" w:cs="宋体" w:hint="eastAsia"/>
                <w:b/>
                <w:bCs/>
                <w:color w:val="000000"/>
                <w:sz w:val="23"/>
                <w:szCs w:val="23"/>
              </w:rPr>
              <w:t>研究方向</w:t>
            </w:r>
          </w:p>
        </w:tc>
        <w:tc>
          <w:tcPr>
            <w:tcW w:w="7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jc w:val="center"/>
              <w:rPr>
                <w:rFonts w:ascii="微软雅黑" w:hAnsi="微软雅黑" w:cs="宋体"/>
                <w:b/>
                <w:bCs/>
                <w:color w:val="000000"/>
                <w:sz w:val="23"/>
                <w:szCs w:val="23"/>
              </w:rPr>
            </w:pPr>
            <w:r w:rsidRPr="00532018">
              <w:rPr>
                <w:rFonts w:ascii="微软雅黑" w:hAnsi="微软雅黑" w:cs="宋体" w:hint="eastAsia"/>
                <w:b/>
                <w:bCs/>
                <w:color w:val="000000"/>
                <w:sz w:val="23"/>
                <w:szCs w:val="23"/>
              </w:rPr>
              <w:t>招聘人数</w:t>
            </w:r>
          </w:p>
        </w:tc>
        <w:tc>
          <w:tcPr>
            <w:tcW w:w="34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jc w:val="center"/>
              <w:rPr>
                <w:rFonts w:ascii="微软雅黑" w:hAnsi="微软雅黑" w:cs="宋体"/>
                <w:b/>
                <w:bCs/>
                <w:color w:val="000000"/>
                <w:sz w:val="23"/>
                <w:szCs w:val="23"/>
              </w:rPr>
            </w:pPr>
            <w:r w:rsidRPr="00532018">
              <w:rPr>
                <w:rFonts w:ascii="微软雅黑" w:hAnsi="微软雅黑" w:cs="宋体" w:hint="eastAsia"/>
                <w:b/>
                <w:bCs/>
                <w:color w:val="000000"/>
                <w:sz w:val="23"/>
                <w:szCs w:val="23"/>
              </w:rPr>
              <w:t>任职条件</w:t>
            </w:r>
          </w:p>
        </w:tc>
      </w:tr>
      <w:tr w:rsidR="00532018" w:rsidRPr="00532018" w:rsidTr="00532018">
        <w:tc>
          <w:tcPr>
            <w:tcW w:w="19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作物病毒病害流行与防控</w:t>
            </w:r>
          </w:p>
        </w:tc>
        <w:tc>
          <w:tcPr>
            <w:tcW w:w="10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农作物病害</w:t>
            </w:r>
          </w:p>
        </w:tc>
        <w:tc>
          <w:tcPr>
            <w:tcW w:w="1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粮食作物病害流行监测与防控</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1</w:t>
            </w: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近五年在植物病毒学领域取得过创新性进展，以第一作者或通讯作者在顶级综合或本领域重要刊物发表过有影响的研究成果；具有较强的创新发展潜力</w:t>
            </w:r>
          </w:p>
        </w:tc>
      </w:tr>
      <w:tr w:rsidR="00532018" w:rsidRPr="00532018" w:rsidTr="00532018">
        <w:tc>
          <w:tcPr>
            <w:tcW w:w="19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天敌昆虫保护与利用</w:t>
            </w:r>
          </w:p>
        </w:tc>
        <w:tc>
          <w:tcPr>
            <w:tcW w:w="10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生物防治</w:t>
            </w:r>
          </w:p>
        </w:tc>
        <w:tc>
          <w:tcPr>
            <w:tcW w:w="1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天敌昆虫</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1</w:t>
            </w: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在天敌昆虫研究领域取得创新性重要进展，以第一作者或通讯作者在本领域重要核心刊物发表过有影响的研究论文或取得其他重要成果；具有较强的创新发展潜力</w:t>
            </w:r>
          </w:p>
        </w:tc>
      </w:tr>
      <w:tr w:rsidR="00532018" w:rsidRPr="00532018" w:rsidTr="00532018">
        <w:tc>
          <w:tcPr>
            <w:tcW w:w="19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农药化学与应用</w:t>
            </w:r>
          </w:p>
        </w:tc>
        <w:tc>
          <w:tcPr>
            <w:tcW w:w="10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化学防治</w:t>
            </w:r>
          </w:p>
        </w:tc>
        <w:tc>
          <w:tcPr>
            <w:tcW w:w="1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农药环境毒理与安全</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1</w:t>
            </w: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在农药化学及应用领域取得重要创新进展，拥有影响力成果或标志性论文；具有较强的创新发展潜力</w:t>
            </w:r>
          </w:p>
        </w:tc>
      </w:tr>
      <w:tr w:rsidR="00532018" w:rsidRPr="00532018" w:rsidTr="00532018">
        <w:tc>
          <w:tcPr>
            <w:tcW w:w="19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生物杀菌剂创制与应用</w:t>
            </w:r>
          </w:p>
        </w:tc>
        <w:tc>
          <w:tcPr>
            <w:tcW w:w="10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生物防治</w:t>
            </w:r>
          </w:p>
        </w:tc>
        <w:tc>
          <w:tcPr>
            <w:tcW w:w="1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生物源农药</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1</w:t>
            </w: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在微生物天然产物分离鉴定，代谢调控等领域具有多年研究经验，取得创新性研究成果，在本领域重要核心刊物发表过有影响力的论文或获得重要核心专利；具有较强的创新发展潜力</w:t>
            </w:r>
          </w:p>
        </w:tc>
      </w:tr>
      <w:tr w:rsidR="00532018" w:rsidRPr="00532018" w:rsidTr="00532018">
        <w:tc>
          <w:tcPr>
            <w:tcW w:w="19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转基因作物安全评价与管理</w:t>
            </w:r>
          </w:p>
        </w:tc>
        <w:tc>
          <w:tcPr>
            <w:tcW w:w="10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农业生物安全</w:t>
            </w:r>
          </w:p>
        </w:tc>
        <w:tc>
          <w:tcPr>
            <w:tcW w:w="1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转基因生物安全评价</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1</w:t>
            </w: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在转基因作物生态安全领域取得过创新性重要进展，以第一作者或通讯作者在本领域重要核心刊物发表过有影响的论文或取得过其他重要成果；具有较强的创新发展潜力</w:t>
            </w:r>
          </w:p>
        </w:tc>
      </w:tr>
      <w:tr w:rsidR="00532018" w:rsidRPr="00532018" w:rsidTr="00532018">
        <w:tc>
          <w:tcPr>
            <w:tcW w:w="19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作物有害生物功能基因组研</w:t>
            </w:r>
            <w:r w:rsidRPr="00532018">
              <w:rPr>
                <w:rFonts w:ascii="微软雅黑" w:hAnsi="微软雅黑" w:cs="宋体" w:hint="eastAsia"/>
                <w:color w:val="000000"/>
                <w:sz w:val="23"/>
                <w:szCs w:val="23"/>
              </w:rPr>
              <w:lastRenderedPageBreak/>
              <w:t>究</w:t>
            </w:r>
          </w:p>
        </w:tc>
        <w:tc>
          <w:tcPr>
            <w:tcW w:w="10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lastRenderedPageBreak/>
              <w:t>植保生物</w:t>
            </w:r>
            <w:r w:rsidRPr="00532018">
              <w:rPr>
                <w:rFonts w:ascii="微软雅黑" w:hAnsi="微软雅黑" w:cs="宋体" w:hint="eastAsia"/>
                <w:color w:val="000000"/>
                <w:sz w:val="23"/>
                <w:szCs w:val="23"/>
              </w:rPr>
              <w:lastRenderedPageBreak/>
              <w:t>技术</w:t>
            </w:r>
          </w:p>
        </w:tc>
        <w:tc>
          <w:tcPr>
            <w:tcW w:w="16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lastRenderedPageBreak/>
              <w:t>有害生物功能基因组</w:t>
            </w:r>
          </w:p>
        </w:tc>
        <w:tc>
          <w:tcPr>
            <w:tcW w:w="7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1</w:t>
            </w: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32018" w:rsidRPr="00532018" w:rsidRDefault="00532018" w:rsidP="00532018">
            <w:pPr>
              <w:adjustRightInd/>
              <w:snapToGrid/>
              <w:spacing w:after="0"/>
              <w:ind w:firstLine="450"/>
              <w:rPr>
                <w:rFonts w:ascii="微软雅黑" w:hAnsi="微软雅黑" w:cs="宋体"/>
                <w:color w:val="000000"/>
                <w:sz w:val="23"/>
                <w:szCs w:val="23"/>
              </w:rPr>
            </w:pPr>
            <w:r w:rsidRPr="00532018">
              <w:rPr>
                <w:rFonts w:ascii="微软雅黑" w:hAnsi="微软雅黑" w:cs="宋体" w:hint="eastAsia"/>
                <w:color w:val="000000"/>
                <w:sz w:val="23"/>
                <w:szCs w:val="23"/>
              </w:rPr>
              <w:t>在微生物病原生物学、信号识别与传导等领域取得过重</w:t>
            </w:r>
            <w:r w:rsidRPr="00532018">
              <w:rPr>
                <w:rFonts w:ascii="微软雅黑" w:hAnsi="微软雅黑" w:cs="宋体" w:hint="eastAsia"/>
                <w:color w:val="000000"/>
                <w:sz w:val="23"/>
                <w:szCs w:val="23"/>
              </w:rPr>
              <w:lastRenderedPageBreak/>
              <w:t>要进展，近五年以第一作者或通讯作者在本领域重要核心刊物发表过有影响的论文；具有较强的创新发展潜力</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532018"/>
    <w:rsid w:val="00323B43"/>
    <w:rsid w:val="003D37D8"/>
    <w:rsid w:val="004358AB"/>
    <w:rsid w:val="00532018"/>
    <w:rsid w:val="0053493C"/>
    <w:rsid w:val="008B77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2018"/>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3750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2020-03-13T00:42:00Z</dcterms:created>
  <dcterms:modified xsi:type="dcterms:W3CDTF">2020-03-13T01:08:00Z</dcterms:modified>
</cp:coreProperties>
</file>