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新疆财经大学高层次人才引进基本条件及待遇</w:t>
      </w:r>
    </w:p>
    <w:tbl>
      <w:tblPr>
        <w:tblStyle w:val="8"/>
        <w:tblW w:w="15735" w:type="dxa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74"/>
        <w:gridCol w:w="6662"/>
        <w:gridCol w:w="2268"/>
        <w:gridCol w:w="1276"/>
        <w:gridCol w:w="1417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引进对象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、校内基础津贴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博士专项津贴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等）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科研配套经费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安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家费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t>待遇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配偶工作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入编制</w:t>
            </w:r>
            <w:r>
              <w:rPr>
                <w:rFonts w:ascii="仿宋" w:hAnsi="仿宋" w:eastAsia="仿宋"/>
                <w:b/>
                <w:szCs w:val="21"/>
              </w:rPr>
              <w:t>引进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三</w:t>
            </w:r>
            <w:r>
              <w:rPr>
                <w:rFonts w:ascii="仿宋" w:hAnsi="仿宋" w:eastAsia="仿宋" w:cs="宋体"/>
                <w:kern w:val="0"/>
                <w:szCs w:val="21"/>
              </w:rPr>
              <w:t>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学科带头人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6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具有正高级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职称及博士学历学位，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  <w:r>
              <w:rPr>
                <w:rFonts w:ascii="仿宋" w:hAnsi="仿宋" w:eastAsia="仿宋" w:cs="宋体"/>
                <w:kern w:val="0"/>
                <w:szCs w:val="21"/>
              </w:rPr>
              <w:t>原则上不超过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50周岁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主持国家级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项目2项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同时</w:t>
            </w:r>
            <w:r>
              <w:rPr>
                <w:rFonts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1.以</w:t>
            </w:r>
            <w:r>
              <w:rPr>
                <w:rFonts w:ascii="仿宋" w:hAnsi="仿宋" w:eastAsia="仿宋" w:cs="宋体"/>
                <w:kern w:val="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核心期刊论文7篇，其中重要及以上核心期刊论文3篇。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2.获省部级科学技术奖二等奖（个人排名第一）；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中国高校人文社会科学研究成果奖三等奖（个人排名第一）；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教学名师奖获得者；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教学成果奖一等奖获得者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（个人排名第一）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省部级哲学社会科学优秀成果一等奖（个人排名第一）；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自然科学优秀学术论文奖一等奖(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);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25万元起/年（博士</w:t>
            </w:r>
            <w:r>
              <w:rPr>
                <w:rFonts w:ascii="仿宋" w:hAnsi="仿宋" w:eastAsia="仿宋"/>
                <w:szCs w:val="21"/>
              </w:rPr>
              <w:t>专项津贴</w:t>
            </w:r>
            <w:r>
              <w:rPr>
                <w:rFonts w:hint="eastAsia" w:ascii="仿宋" w:hAnsi="仿宋" w:eastAsia="仿宋"/>
                <w:szCs w:val="21"/>
              </w:rPr>
              <w:t>15万元）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20万元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55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第四层次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学术带头人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具有副高级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职称及博士学历学位，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  <w:r>
              <w:rPr>
                <w:rFonts w:ascii="仿宋" w:hAnsi="仿宋" w:eastAsia="仿宋" w:cs="宋体"/>
                <w:kern w:val="0"/>
                <w:szCs w:val="21"/>
              </w:rPr>
              <w:t>原则上不超过45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周岁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近5年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主持国家级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项目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项或</w:t>
            </w:r>
            <w:r>
              <w:rPr>
                <w:rFonts w:ascii="仿宋" w:hAnsi="仿宋" w:eastAsia="仿宋" w:cs="宋体"/>
                <w:kern w:val="0"/>
                <w:szCs w:val="21"/>
              </w:rPr>
              <w:t>省部级项目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2项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同时</w:t>
            </w:r>
            <w:r>
              <w:rPr>
                <w:rFonts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.以</w:t>
            </w:r>
            <w:r>
              <w:rPr>
                <w:rFonts w:ascii="仿宋" w:hAnsi="仿宋" w:eastAsia="仿宋" w:cs="宋体"/>
                <w:kern w:val="0"/>
                <w:szCs w:val="21"/>
              </w:rPr>
              <w:t>第一作者发表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核心期刊论文6篇；其中重要及以上核心期刊论文2篇。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2.获省部级科学技术奖三等奖（个人排名第一）；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.省部级教学</w:t>
            </w:r>
            <w:r>
              <w:rPr>
                <w:rFonts w:ascii="仿宋" w:hAnsi="仿宋" w:eastAsia="仿宋" w:cs="宋体"/>
                <w:kern w:val="0"/>
                <w:szCs w:val="21"/>
              </w:rPr>
              <w:t>成果奖二等奖获得者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（个人排名第一）</w:t>
            </w:r>
            <w:r>
              <w:rPr>
                <w:rFonts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青年教师奖获得者；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省部级哲学社会科学优秀成果二等奖（个人排名第一）；</w:t>
            </w:r>
          </w:p>
          <w:p>
            <w:pPr>
              <w:spacing w:line="280" w:lineRule="exac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.省部级</w:t>
            </w:r>
            <w:r>
              <w:rPr>
                <w:rFonts w:ascii="仿宋" w:hAnsi="仿宋" w:eastAsia="仿宋" w:cs="宋体"/>
                <w:kern w:val="0"/>
                <w:szCs w:val="21"/>
              </w:rPr>
              <w:t>自然科学优秀学术论文二等奖(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个人排名第一</w:t>
            </w:r>
            <w:r>
              <w:rPr>
                <w:rFonts w:ascii="仿宋" w:hAnsi="仿宋" w:eastAsia="仿宋" w:cs="宋体"/>
                <w:kern w:val="0"/>
                <w:szCs w:val="21"/>
              </w:rPr>
              <w:t>);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22万元起/年 （博士专项</w:t>
            </w:r>
            <w:r>
              <w:rPr>
                <w:rFonts w:ascii="仿宋" w:hAnsi="仿宋" w:eastAsia="仿宋"/>
                <w:szCs w:val="21"/>
              </w:rPr>
              <w:t>津贴</w:t>
            </w:r>
            <w:r>
              <w:rPr>
                <w:rFonts w:hint="eastAsia" w:ascii="仿宋" w:hAnsi="仿宋" w:eastAsia="仿宋"/>
                <w:szCs w:val="21"/>
              </w:rPr>
              <w:t>12万元）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45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2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备注：</w:t>
            </w:r>
          </w:p>
        </w:tc>
        <w:tc>
          <w:tcPr>
            <w:tcW w:w="140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1.博士</w:t>
            </w:r>
            <w:r>
              <w:rPr>
                <w:rFonts w:ascii="仿宋" w:hAnsi="仿宋" w:eastAsia="仿宋" w:cs="宋体"/>
                <w:kern w:val="0"/>
                <w:szCs w:val="21"/>
              </w:rPr>
              <w:t>专项津贴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享受3年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2.成果</w:t>
            </w:r>
            <w:r>
              <w:rPr>
                <w:rFonts w:ascii="仿宋" w:hAnsi="仿宋" w:eastAsia="仿宋" w:cs="宋体"/>
                <w:kern w:val="0"/>
                <w:szCs w:val="21"/>
              </w:rPr>
              <w:t>必须是近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5年取得的</w:t>
            </w:r>
            <w:r>
              <w:rPr>
                <w:rFonts w:ascii="仿宋" w:hAnsi="仿宋" w:eastAsia="仿宋" w:cs="宋体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3.服务期原则上不少于8年，服务期5年-</w:t>
            </w:r>
            <w:r>
              <w:rPr>
                <w:rFonts w:ascii="仿宋" w:hAnsi="仿宋" w:eastAsia="仿宋" w:cs="宋体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年的按照</w:t>
            </w:r>
            <w:r>
              <w:rPr>
                <w:rFonts w:ascii="仿宋" w:hAnsi="仿宋" w:eastAsia="仿宋" w:cs="宋体"/>
                <w:kern w:val="0"/>
                <w:szCs w:val="21"/>
              </w:rPr>
              <w:t>上述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标准</w:t>
            </w:r>
            <w:r>
              <w:rPr>
                <w:rFonts w:ascii="仿宋" w:hAnsi="仿宋" w:eastAsia="仿宋" w:cs="宋体"/>
                <w:kern w:val="0"/>
                <w:szCs w:val="21"/>
              </w:rPr>
              <w:t>进行折算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</w:t>
            </w:r>
          </w:p>
        </w:tc>
      </w:tr>
    </w:tbl>
    <w:p>
      <w:pPr>
        <w:jc w:val="center"/>
      </w:pPr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35C69CA"/>
    <w:rsid w:val="04DE6875"/>
    <w:rsid w:val="13F540AE"/>
    <w:rsid w:val="194049DA"/>
    <w:rsid w:val="4A7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msk</cp:lastModifiedBy>
  <cp:lastPrinted>2019-01-31T04:34:00Z</cp:lastPrinted>
  <dcterms:modified xsi:type="dcterms:W3CDTF">2020-03-04T05:12:18Z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