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附件1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2020年3月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梅列区城市建设发展有限责任公司公开招聘工作人员岗位信息表</w:t>
      </w:r>
    </w:p>
    <w:tbl>
      <w:tblPr>
        <w:tblStyle w:val="3"/>
        <w:tblW w:w="15180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1590"/>
        <w:gridCol w:w="717"/>
        <w:gridCol w:w="845"/>
        <w:gridCol w:w="2040"/>
        <w:gridCol w:w="1661"/>
        <w:gridCol w:w="877"/>
        <w:gridCol w:w="1025"/>
        <w:gridCol w:w="880"/>
        <w:gridCol w:w="881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42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64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学历及类别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（相对应岗位）</w:t>
            </w:r>
          </w:p>
        </w:tc>
        <w:tc>
          <w:tcPr>
            <w:tcW w:w="36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全日制普通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教育学历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</w:trPr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建发公司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技术总工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土建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tabs>
                <w:tab w:val="left" w:pos="525"/>
              </w:tabs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8年及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3664" w:type="dxa"/>
            <w:vAlign w:val="center"/>
          </w:tcPr>
          <w:p>
            <w:pPr>
              <w:tabs>
                <w:tab w:val="left" w:pos="270"/>
              </w:tabs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取得与招聘岗位相关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级及以上职称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持有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建设工程类相关资格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且有经验的项目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管理人员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学历条件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非全日制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</w:trPr>
        <w:tc>
          <w:tcPr>
            <w:tcW w:w="1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建发公司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工程管理员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土建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取得与招聘岗位相关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级及以上职称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持有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建设工程类相关资格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且有经验的项目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管理人员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学历条件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非全日制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</w:trPr>
        <w:tc>
          <w:tcPr>
            <w:tcW w:w="1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建发公司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土建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中共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与招聘岗位相关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工作经验达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2年及以上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的人员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学历条件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非全日制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大专。</w:t>
            </w:r>
          </w:p>
        </w:tc>
      </w:tr>
    </w:tbl>
    <w:p>
      <w:pPr>
        <w:pStyle w:val="2"/>
        <w:widowControl/>
        <w:shd w:val="clear" w:color="050000" w:fill="FFFFFF"/>
        <w:spacing w:before="225" w:beforeAutospacing="0" w:after="150" w:afterAutospacing="0" w:line="17" w:lineRule="atLeast"/>
        <w:ind w:left="0" w:firstLine="0"/>
        <w:jc w:val="left"/>
        <w:rPr>
          <w:color w:val="auto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备注：招考专业按照</w:t>
      </w:r>
      <w:r>
        <w:rPr>
          <w:rFonts w:hint="default" w:ascii="仿宋" w:hAnsi="仿宋" w:eastAsia="仿宋" w:cs="仿宋"/>
          <w:b w:val="0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福建省机关事业单位招考专业指导目录（</w:t>
      </w:r>
      <w:r>
        <w:rPr>
          <w:rFonts w:hint="eastAsia" w:ascii="仿宋" w:hAnsi="仿宋" w:eastAsia="仿宋" w:cs="仿宋"/>
          <w:b w:val="0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2019</w:t>
      </w:r>
      <w:r>
        <w:rPr>
          <w:rFonts w:hint="default" w:ascii="仿宋" w:hAnsi="仿宋" w:eastAsia="仿宋" w:cs="仿宋"/>
          <w:b w:val="0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年）</w:t>
      </w:r>
    </w:p>
    <w:sectPr>
      <w:pgSz w:w="16838" w:h="11906" w:orient="landscape"/>
      <w:pgMar w:top="1247" w:right="1247" w:bottom="1247" w:left="1247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A1CA1"/>
    <w:rsid w:val="43797922"/>
    <w:rsid w:val="59565677"/>
    <w:rsid w:val="75086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2019-08-13T11:01:00Z</dcterms:created>
  <dc:creator>Administrator</dc:creator>
  <cp:lastModifiedBy>露湿晴花</cp:lastModifiedBy>
  <cp:lastPrinted>2020-03-01T01:27:00Z</cp:lastPrinted>
  <dcterms:modified xsi:type="dcterms:W3CDTF">2020-03-02T03:09:19Z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