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0" w:type="dxa"/>
        <w:tblInd w:w="1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3159"/>
        <w:gridCol w:w="1419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3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微软雅黑" w:cs="Arial"/>
                <w:b/>
                <w:color w:val="333333"/>
                <w:sz w:val="28"/>
                <w:szCs w:val="28"/>
                <w:bdr w:val="none" w:color="auto" w:sz="0" w:space="0"/>
              </w:rPr>
            </w:pPr>
            <w:r>
              <w:rPr>
                <w:rFonts w:ascii="Arial" w:hAnsi="Arial" w:eastAsia="微软雅黑" w:cs="Arial"/>
                <w:b/>
                <w:color w:val="333333"/>
                <w:sz w:val="30"/>
                <w:szCs w:val="30"/>
                <w:bdr w:val="none" w:color="auto" w:sz="0" w:space="0"/>
              </w:rPr>
              <w:t>2020年河南理工大学第一附属医院招聘计划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bdr w:val="none" w:color="auto" w:sz="0" w:space="0"/>
              </w:rPr>
              <w:t>招聘科室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bdr w:val="none" w:color="auto" w:sz="0" w:space="0"/>
              </w:rPr>
              <w:t>招聘专业</w:t>
            </w:r>
          </w:p>
        </w:tc>
        <w:tc>
          <w:tcPr>
            <w:tcW w:w="28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招聘学历/招聘计划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心血管内科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心血管病学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神经病学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神经病学（介入）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内分泌学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肿瘤内科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中西医结合临床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风湿免疫科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风湿病学与自体免疫病学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小儿科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心胸外科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普通外科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普通外科学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血管外科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骨外科学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神经外科学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烧伤整形科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烧伤整形外科学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泌尿外科学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甲状腺乳腺外科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妇产科学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耳鼻咽喉头颈外科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耳鼻咽喉科学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微软雅黑" w:cs="Arial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sz w:val="24"/>
                <w:szCs w:val="24"/>
                <w:bdr w:val="none" w:color="auto" w:sz="0" w:space="0"/>
              </w:rPr>
              <w:t>CT室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超声诊断室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病理学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介入中心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输血科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医学检验诊断学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磁共振科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全科医学科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针灸推拿学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核医学科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医学检验诊断学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健康管理中心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肛肠科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放疗科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放射治疗技术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男科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麻醉手术部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科研与学科建设部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生物信息学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4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9D20CBB"/>
    <w:rsid w:val="0B516856"/>
    <w:rsid w:val="0D72088B"/>
    <w:rsid w:val="0EB8095F"/>
    <w:rsid w:val="14A95D0F"/>
    <w:rsid w:val="1B022913"/>
    <w:rsid w:val="20F56210"/>
    <w:rsid w:val="24726144"/>
    <w:rsid w:val="31B5531C"/>
    <w:rsid w:val="404D5666"/>
    <w:rsid w:val="47443602"/>
    <w:rsid w:val="4B276081"/>
    <w:rsid w:val="4D0F2E0E"/>
    <w:rsid w:val="52F2426F"/>
    <w:rsid w:val="54E25B5C"/>
    <w:rsid w:val="5779718F"/>
    <w:rsid w:val="58BA7DE0"/>
    <w:rsid w:val="67511501"/>
    <w:rsid w:val="68743904"/>
    <w:rsid w:val="6C88639F"/>
    <w:rsid w:val="715C3B72"/>
    <w:rsid w:val="763225EB"/>
    <w:rsid w:val="76A62977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  <w:style w:type="character" w:customStyle="1" w:styleId="20">
    <w:name w:val="line22"/>
    <w:basedOn w:val="4"/>
    <w:uiPriority w:val="0"/>
    <w:rPr>
      <w:sz w:val="14"/>
      <w:szCs w:val="14"/>
    </w:rPr>
  </w:style>
  <w:style w:type="character" w:customStyle="1" w:styleId="21">
    <w:name w:val="line3"/>
    <w:basedOn w:val="4"/>
    <w:uiPriority w:val="0"/>
    <w:rPr>
      <w:sz w:val="14"/>
      <w:szCs w:val="14"/>
    </w:rPr>
  </w:style>
  <w:style w:type="character" w:customStyle="1" w:styleId="22">
    <w:name w:val="sty02"/>
    <w:basedOn w:val="4"/>
    <w:uiPriority w:val="0"/>
    <w:rPr>
      <w:sz w:val="16"/>
      <w:szCs w:val="16"/>
    </w:rPr>
  </w:style>
  <w:style w:type="character" w:customStyle="1" w:styleId="23">
    <w:name w:val="sty03"/>
    <w:basedOn w:val="4"/>
    <w:uiPriority w:val="0"/>
    <w:rPr>
      <w:sz w:val="16"/>
      <w:szCs w:val="16"/>
    </w:rPr>
  </w:style>
  <w:style w:type="character" w:customStyle="1" w:styleId="24">
    <w:name w:val="sty04"/>
    <w:basedOn w:val="4"/>
    <w:uiPriority w:val="0"/>
    <w:rPr>
      <w:bdr w:val="single" w:color="C8DFDB" w:sz="4" w:space="0"/>
      <w:shd w:val="clear" w:fill="ECF6F5"/>
    </w:rPr>
  </w:style>
  <w:style w:type="character" w:customStyle="1" w:styleId="25">
    <w:name w:val="line2"/>
    <w:basedOn w:val="4"/>
    <w:uiPriority w:val="0"/>
    <w:rPr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2020-02-25T03:37:36Z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