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40" w:lineRule="exact"/>
        <w:ind w:right="340"/>
        <w:jc w:val="both"/>
        <w:rPr>
          <w:rFonts w:hint="default" w:ascii="Times New Roman" w:hAnsi="Times New Roman" w:eastAsia="宋体"/>
          <w:color w:val="auto"/>
          <w:spacing w:val="0"/>
          <w:sz w:val="32"/>
          <w:lang w:eastAsia="zh-CN"/>
        </w:rPr>
      </w:pPr>
      <w:r>
        <w:rPr>
          <w:rFonts w:hint="default" w:ascii="Times New Roman" w:hAnsi="Times New Roman" w:eastAsia="黑体"/>
          <w:color w:val="auto"/>
          <w:spacing w:val="0"/>
          <w:sz w:val="32"/>
        </w:rPr>
        <w:t>附件</w:t>
      </w:r>
      <w:r>
        <w:rPr>
          <w:rFonts w:hint="default" w:ascii="Times New Roman" w:hAnsi="Times New Roman" w:eastAsia="PMingLiU"/>
          <w:color w:val="auto"/>
          <w:spacing w:val="0"/>
          <w:sz w:val="32"/>
        </w:rPr>
        <w:t>1</w:t>
      </w:r>
      <w:r>
        <w:rPr>
          <w:rFonts w:hint="default" w:ascii="Times New Roman" w:hAnsi="Times New Roman" w:eastAsia="宋体"/>
          <w:color w:val="auto"/>
          <w:spacing w:val="0"/>
          <w:sz w:val="32"/>
          <w:lang w:eastAsia="zh-CN"/>
        </w:rPr>
        <w:t>：</w:t>
      </w:r>
    </w:p>
    <w:p>
      <w:pPr>
        <w:pStyle w:val="2"/>
        <w:spacing w:before="0" w:line="540" w:lineRule="exact"/>
        <w:ind w:right="340"/>
        <w:jc w:val="both"/>
        <w:rPr>
          <w:rFonts w:hint="default" w:ascii="Times New Roman" w:hAnsi="Times New Roman" w:eastAsia="PMingLiU"/>
          <w:color w:val="auto"/>
          <w:spacing w:val="0"/>
          <w:sz w:val="32"/>
        </w:rPr>
      </w:pPr>
    </w:p>
    <w:p>
      <w:pPr>
        <w:pStyle w:val="2"/>
        <w:spacing w:before="0" w:line="540" w:lineRule="exact"/>
        <w:ind w:right="40"/>
        <w:jc w:val="center"/>
        <w:rPr>
          <w:rFonts w:hint="default" w:ascii="Times New Roman" w:hAnsi="Times New Roman" w:eastAsia="方正小标宋简体"/>
          <w:color w:val="auto"/>
          <w:spacing w:val="0"/>
          <w:sz w:val="44"/>
        </w:rPr>
      </w:pPr>
      <w:r>
        <w:rPr>
          <w:rFonts w:ascii="Times New Roman" w:hAnsi="Times New Roman" w:eastAsia="方正小标宋简体"/>
          <w:color w:val="auto"/>
          <w:spacing w:val="0"/>
          <w:sz w:val="44"/>
          <w:lang w:eastAsia="zh-CN"/>
        </w:rPr>
        <w:t>威海市</w:t>
      </w:r>
      <w:r>
        <w:rPr>
          <w:rFonts w:hint="default" w:ascii="Times New Roman" w:hAnsi="Times New Roman" w:eastAsia="方正小标宋简体"/>
          <w:color w:val="auto"/>
          <w:spacing w:val="0"/>
          <w:sz w:val="44"/>
        </w:rPr>
        <w:t>文登区20</w:t>
      </w:r>
      <w:r>
        <w:rPr>
          <w:rFonts w:hint="default" w:ascii="Times New Roman" w:hAnsi="Times New Roman" w:eastAsia="PMingLiU"/>
          <w:color w:val="auto"/>
          <w:spacing w:val="0"/>
          <w:sz w:val="44"/>
        </w:rPr>
        <w:t>20</w:t>
      </w:r>
      <w:r>
        <w:rPr>
          <w:rFonts w:hint="default" w:ascii="Times New Roman" w:hAnsi="Times New Roman" w:eastAsia="方正小标宋简体"/>
          <w:color w:val="auto"/>
          <w:spacing w:val="0"/>
          <w:sz w:val="44"/>
        </w:rPr>
        <w:t>年引进优秀毕业生</w:t>
      </w:r>
    </w:p>
    <w:p>
      <w:pPr>
        <w:pStyle w:val="2"/>
        <w:spacing w:before="0" w:line="540" w:lineRule="exact"/>
        <w:ind w:right="40"/>
        <w:jc w:val="center"/>
        <w:rPr>
          <w:rFonts w:ascii="Times New Roman" w:hAnsi="Times New Roman" w:eastAsia="方正小标宋简体"/>
          <w:color w:val="auto"/>
          <w:spacing w:val="0"/>
          <w:sz w:val="44"/>
          <w:lang w:eastAsia="zh-CN"/>
        </w:rPr>
      </w:pPr>
      <w:r>
        <w:rPr>
          <w:rFonts w:ascii="Times New Roman" w:hAnsi="Times New Roman" w:eastAsia="方正小标宋简体"/>
          <w:color w:val="auto"/>
          <w:spacing w:val="0"/>
          <w:sz w:val="44"/>
          <w:lang w:eastAsia="zh-CN"/>
        </w:rPr>
        <w:t>岗位计划表</w:t>
      </w:r>
    </w:p>
    <w:p>
      <w:pPr>
        <w:pStyle w:val="2"/>
        <w:spacing w:before="0" w:line="540" w:lineRule="exact"/>
        <w:ind w:left="120" w:leftChars="50" w:right="340" w:firstLine="4160" w:firstLineChars="1300"/>
        <w:jc w:val="left"/>
        <w:rPr>
          <w:rFonts w:hint="default" w:ascii="Times New Roman" w:hAnsi="Times New Roman" w:eastAsia="仿宋_GB2312"/>
          <w:color w:val="auto"/>
          <w:spacing w:val="0"/>
          <w:sz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277"/>
        <w:gridCol w:w="1712"/>
        <w:gridCol w:w="4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  <w:lang w:eastAsia="zh-CN"/>
              </w:rPr>
              <w:t>岗位</w:t>
            </w:r>
            <w:r>
              <w:rPr>
                <w:rFonts w:hint="default" w:ascii="Times New Roman" w:hAnsi="Times New Roman" w:eastAsia="黑体"/>
                <w:color w:val="auto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  <w:lang w:eastAsia="zh-CN"/>
              </w:rPr>
              <w:t>招聘人数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auto"/>
                <w:sz w:val="32"/>
                <w:szCs w:val="32"/>
              </w:rPr>
              <w:t>允许报考的相关相近专业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  <w:lang w:eastAsia="zh-CN"/>
              </w:rPr>
              <w:t>农学岗位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:lang w:eastAsia="zh-CN"/>
              </w:rPr>
              <w:t>20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Cs w:val="24"/>
              </w:rPr>
              <w:t>农学、园艺、植物保护、种子科学与工程、设施农业科学与工程、园林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auto"/>
                <w:szCs w:val="24"/>
              </w:rPr>
              <w:t>森林保护学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color w:val="auto"/>
                <w:szCs w:val="24"/>
                <w:lang w:eastAsia="zh-CN"/>
              </w:rPr>
              <w:t>动物医学、动物科学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color w:val="auto"/>
                <w:szCs w:val="24"/>
                <w:lang w:eastAsia="zh-CN"/>
              </w:rPr>
              <w:t>动植物检疫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、中药学</w:t>
            </w:r>
            <w:r>
              <w:rPr>
                <w:rFonts w:hint="default" w:ascii="Times New Roman" w:hAnsi="Times New Roman" w:eastAsia="仿宋_GB2312"/>
                <w:color w:val="auto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中药</w:t>
            </w:r>
            <w:r>
              <w:rPr>
                <w:rFonts w:hint="default" w:ascii="Times New Roman" w:hAnsi="Times New Roman" w:eastAsia="仿宋_GB2312"/>
                <w:color w:val="auto"/>
                <w:szCs w:val="24"/>
                <w:lang w:eastAsia="zh-CN"/>
              </w:rPr>
              <w:t>资源与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开发</w:t>
            </w:r>
            <w:r>
              <w:rPr>
                <w:rFonts w:hint="default" w:ascii="Times New Roman" w:hAnsi="Times New Roman" w:eastAsia="仿宋_GB2312"/>
                <w:color w:val="auto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中草药栽培与鉴定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  <w:lang w:eastAsia="zh-CN"/>
              </w:rPr>
              <w:t>法律岗位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PMingLiU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PMingLiU"/>
                <w:color w:val="auto"/>
                <w:sz w:val="30"/>
                <w:szCs w:val="30"/>
              </w:rPr>
              <w:t>10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auto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法学、民商法学(含：劳动法学、社会保障法学)、经济法学、宪法学与行政法学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PMingLiU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PMingLiU"/>
                <w:color w:val="auto"/>
                <w:sz w:val="30"/>
                <w:szCs w:val="30"/>
              </w:rPr>
              <w:t>3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  <w:lang w:eastAsia="zh-CN"/>
              </w:rPr>
              <w:t>财政金融岗位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PMingLiU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PMingLiU"/>
                <w:color w:val="auto"/>
                <w:sz w:val="30"/>
                <w:szCs w:val="30"/>
              </w:rPr>
              <w:t>10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auto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Cs w:val="24"/>
              </w:rPr>
              <w:t>金融学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auto"/>
                <w:szCs w:val="24"/>
              </w:rPr>
              <w:t>金融工程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、金融数学</w:t>
            </w:r>
            <w:r>
              <w:rPr>
                <w:rFonts w:hint="default" w:ascii="Times New Roman" w:hAnsi="Times New Roman" w:eastAsia="仿宋_GB2312"/>
                <w:color w:val="auto"/>
                <w:szCs w:val="24"/>
                <w:lang w:eastAsia="zh-CN"/>
              </w:rPr>
              <w:t>、经济与金融、财政学、税收学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color w:val="auto"/>
                <w:szCs w:val="24"/>
                <w:lang w:eastAsia="zh-CN"/>
              </w:rPr>
              <w:t>经济学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、会计学、财务管理、财务会计教育、</w:t>
            </w:r>
            <w:r>
              <w:rPr>
                <w:rFonts w:hint="default" w:ascii="Times New Roman" w:hAnsi="Times New Roman" w:eastAsia="仿宋_GB2312"/>
                <w:color w:val="auto"/>
                <w:szCs w:val="24"/>
                <w:lang w:eastAsia="zh-CN"/>
              </w:rPr>
              <w:t>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PMingLiU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PMingLiU"/>
                <w:color w:val="auto"/>
                <w:sz w:val="30"/>
                <w:szCs w:val="30"/>
              </w:rPr>
              <w:t>4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  <w:lang w:eastAsia="zh-CN"/>
              </w:rPr>
              <w:t>建筑工程岗位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Times New Roman" w:hAnsi="Times New Roman" w:eastAsia="PMingLiU"/>
                <w:color w:val="auto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Cs w:val="24"/>
                <w:lang w:val="en-US" w:eastAsia="zh-CN"/>
              </w:rPr>
              <w:t>土木</w:t>
            </w:r>
            <w:r>
              <w:rPr>
                <w:rFonts w:ascii="Times New Roman" w:hAnsi="Times New Roman" w:eastAsia="仿宋_GB2312"/>
                <w:color w:val="auto"/>
                <w:szCs w:val="24"/>
              </w:rPr>
              <w:t>工程、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给水排水工程、</w:t>
            </w:r>
            <w:r>
              <w:rPr>
                <w:rFonts w:ascii="Times New Roman" w:hAnsi="Times New Roman" w:eastAsia="仿宋_GB2312"/>
                <w:color w:val="auto"/>
                <w:szCs w:val="24"/>
              </w:rPr>
              <w:t>给排水科学与工程、建筑电气与智能化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、市政工程、结构工程、工民建、房地产开发与管理、</w:t>
            </w:r>
            <w:r>
              <w:rPr>
                <w:rFonts w:hint="default" w:ascii="Times New Roman" w:hAnsi="Times New Roman" w:eastAsia="仿宋_GB2312"/>
                <w:color w:val="auto"/>
                <w:szCs w:val="24"/>
                <w:lang w:eastAsia="zh-CN"/>
              </w:rPr>
              <w:t>工程造价</w:t>
            </w:r>
            <w:r>
              <w:rPr>
                <w:rFonts w:ascii="Times New Roman" w:hAnsi="Times New Roman" w:eastAsia="仿宋_GB2312"/>
                <w:color w:val="auto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color w:val="auto"/>
                <w:szCs w:val="24"/>
                <w:lang w:eastAsia="zh-CN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6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PMingLiU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PMingLiU"/>
                <w:color w:val="auto"/>
                <w:sz w:val="30"/>
                <w:szCs w:val="30"/>
              </w:rPr>
              <w:t>5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  <w:lang w:eastAsia="zh-CN"/>
              </w:rPr>
              <w:t>不限专业岗位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PMingLiU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PMingLiU"/>
                <w:color w:val="auto"/>
                <w:sz w:val="30"/>
                <w:szCs w:val="30"/>
              </w:rPr>
              <w:t>55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auto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569FF"/>
    <w:rsid w:val="2E4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Courier New" w:hAnsi="Courier New" w:eastAsia="宋体" w:cs="Times New Roman"/>
      <w:color w:val="000000"/>
      <w:sz w:val="24"/>
      <w:szCs w:val="22"/>
      <w:lang w:val="zh-TW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before="480" w:beforeLines="0" w:afterLines="0" w:line="547" w:lineRule="exact"/>
      <w:jc w:val="distribute"/>
    </w:pPr>
    <w:rPr>
      <w:rFonts w:hint="eastAsia" w:ascii="MingLiU" w:hAnsi="MingLiU" w:eastAsia="MingLiU"/>
      <w:spacing w:val="1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2020-02-20T08:38:00Z</dcterms:created>
  <dc:creator>啾啾啾啾啾啾啾啾啾啾啾啾啾啾</dc:creator>
  <cp:lastModifiedBy>啾啾啾啾啾啾啾啾啾啾啾啾啾啾</cp:lastModifiedBy>
  <dcterms:modified xsi:type="dcterms:W3CDTF">2020-02-20T08:39:51Z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