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8" w:lineRule="atLeast"/>
        <w:ind w:left="0" w:right="0" w:firstLine="0"/>
        <w:jc w:val="center"/>
        <w:rPr>
          <w:rFonts w:hAnsi="Microsoft YaHei UI" w:eastAsia="Microsoft YaHei UI" w:cs="Microsoft YaHei UI" w:asciiTheme="minorAscii"/>
          <w:b/>
          <w:i w:val="0"/>
          <w:caps w:val="0"/>
          <w:color w:val="333333"/>
          <w:spacing w:val="5"/>
          <w:sz w:val="30"/>
          <w:szCs w:val="30"/>
        </w:rPr>
      </w:pPr>
      <w:r>
        <w:rPr>
          <w:rFonts w:hint="eastAsia" w:hAnsi="Microsoft YaHei UI" w:eastAsia="Microsoft YaHei UI" w:cs="Microsoft YaHei UI" w:asciiTheme="minorAscii"/>
          <w:b/>
          <w:i w:val="0"/>
          <w:caps w:val="0"/>
          <w:color w:val="333333"/>
          <w:spacing w:val="5"/>
          <w:sz w:val="30"/>
          <w:szCs w:val="30"/>
          <w:bdr w:val="none" w:color="auto" w:sz="0" w:space="0"/>
          <w:shd w:val="clear" w:fill="FFFFFF"/>
        </w:rPr>
        <w:t>高级社会工作师考试说明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0" w:afterAutospacing="0" w:line="368" w:lineRule="atLeast"/>
        <w:ind w:left="0" w:right="0" w:firstLine="280"/>
        <w:jc w:val="left"/>
        <w:rPr>
          <w:rFonts w:hint="eastAsia" w:hAnsi="Microsoft YaHei UI" w:eastAsia="Microsoft YaHei UI" w:cs="Microsoft YaHei UI" w:asciiTheme="minorAscii"/>
          <w:b/>
          <w:i w:val="0"/>
          <w:caps w:val="0"/>
          <w:color w:val="333333"/>
          <w:spacing w:val="5"/>
          <w:sz w:val="21"/>
          <w:szCs w:val="21"/>
        </w:rPr>
      </w:pPr>
      <w:r>
        <w:rPr>
          <w:rFonts w:hAnsi="Microsoft YaHei UI" w:eastAsia="仿宋_GB2312" w:cs="仿宋_GB2312" w:asciiTheme="minorAscii"/>
          <w:b w:val="0"/>
          <w:i w:val="0"/>
          <w:caps w:val="0"/>
          <w:color w:val="333333"/>
          <w:spacing w:val="5"/>
          <w:sz w:val="21"/>
          <w:szCs w:val="21"/>
          <w:bdr w:val="none" w:color="auto" w:sz="0" w:space="0"/>
          <w:shd w:val="clear" w:fill="FFFFFF"/>
        </w:rPr>
        <w:t>一、</w:t>
      </w:r>
      <w:r>
        <w:rPr>
          <w:rFonts w:hint="default" w:hAnsi="Microsoft YaHei UI" w:eastAsia="仿宋_GB2312" w:cs="仿宋_GB2312" w:asciiTheme="minorAscii"/>
          <w:b w:val="0"/>
          <w:i w:val="0"/>
          <w:caps w:val="0"/>
          <w:color w:val="333333"/>
          <w:spacing w:val="5"/>
          <w:sz w:val="21"/>
          <w:szCs w:val="21"/>
          <w:bdr w:val="none" w:color="auto" w:sz="0" w:space="0"/>
          <w:shd w:val="clear" w:fill="FFFFFF"/>
        </w:rPr>
        <w:t>高级社会工作师职业水平考试由人力资源社会保障部与民政部共同组织实施，采用统一大纲、统一命题、统一组织的方式进行，原则上每年组织一次。考试合格，颁发高级社会工作师考试成绩合格证明。该证明自颁发之日起，在全国范围3年内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0" w:afterAutospacing="0" w:line="368" w:lineRule="atLeast"/>
        <w:ind w:left="0" w:right="0" w:firstLine="280"/>
        <w:jc w:val="left"/>
        <w:rPr>
          <w:rFonts w:hint="eastAsia" w:hAnsi="Microsoft YaHei UI" w:eastAsia="Microsoft YaHei UI" w:cs="Microsoft YaHei UI" w:asciiTheme="minorAscii"/>
          <w:b/>
          <w:i w:val="0"/>
          <w:caps w:val="0"/>
          <w:color w:val="333333"/>
          <w:spacing w:val="5"/>
          <w:sz w:val="21"/>
          <w:szCs w:val="21"/>
        </w:rPr>
      </w:pPr>
      <w:r>
        <w:rPr>
          <w:rFonts w:hint="default" w:hAnsi="Microsoft YaHei UI" w:eastAsia="仿宋_GB2312" w:cs="仿宋_GB2312" w:asciiTheme="minorAscii"/>
          <w:b/>
          <w:i w:val="0"/>
          <w:caps w:val="0"/>
          <w:color w:val="333333"/>
          <w:spacing w:val="5"/>
          <w:sz w:val="21"/>
          <w:szCs w:val="21"/>
          <w:bdr w:val="none" w:color="auto" w:sz="0" w:space="0"/>
          <w:shd w:val="clear" w:fill="FFFFFF"/>
        </w:rPr>
        <w:t>二、</w:t>
      </w:r>
      <w:r>
        <w:rPr>
          <w:rFonts w:hint="default" w:hAnsi="Microsoft YaHei UI" w:eastAsia="仿宋_GB2312" w:cs="仿宋_GB2312" w:asciiTheme="minorAscii"/>
          <w:b w:val="0"/>
          <w:i w:val="0"/>
          <w:caps w:val="0"/>
          <w:color w:val="333333"/>
          <w:spacing w:val="5"/>
          <w:sz w:val="21"/>
          <w:szCs w:val="21"/>
          <w:bdr w:val="none" w:color="auto" w:sz="0" w:space="0"/>
          <w:shd w:val="clear" w:fill="FFFFFF"/>
        </w:rPr>
        <w:t>高级社会工作师职业水平考试科目为《社会工作实务（高级）》。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0" w:afterAutospacing="0" w:line="368" w:lineRule="atLeast"/>
        <w:ind w:left="0" w:right="0" w:firstLine="280"/>
        <w:jc w:val="left"/>
        <w:rPr>
          <w:rFonts w:hint="eastAsia" w:hAnsi="Microsoft YaHei UI" w:eastAsia="Microsoft YaHei UI" w:cs="Microsoft YaHei UI" w:asciiTheme="minorAscii"/>
          <w:b/>
          <w:i w:val="0"/>
          <w:caps w:val="0"/>
          <w:color w:val="333333"/>
          <w:spacing w:val="5"/>
          <w:sz w:val="21"/>
          <w:szCs w:val="21"/>
        </w:rPr>
      </w:pPr>
      <w:r>
        <w:rPr>
          <w:rFonts w:hint="default" w:hAnsi="Microsoft YaHei UI" w:eastAsia="仿宋_GB2312" w:cs="仿宋_GB2312" w:asciiTheme="minorAscii"/>
          <w:b w:val="0"/>
          <w:i w:val="0"/>
          <w:caps w:val="0"/>
          <w:color w:val="333333"/>
          <w:spacing w:val="5"/>
          <w:sz w:val="21"/>
          <w:szCs w:val="21"/>
          <w:bdr w:val="none" w:color="auto" w:sz="0" w:space="0"/>
          <w:shd w:val="clear" w:fill="FFFFFF"/>
        </w:rPr>
        <w:t>三、高级社会工作师职业水平考试为闭卷考试，在答题卡上作答。</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0" w:afterAutospacing="0" w:line="368" w:lineRule="atLeast"/>
        <w:ind w:left="0" w:right="0" w:firstLine="280"/>
        <w:jc w:val="left"/>
        <w:rPr>
          <w:rFonts w:hint="eastAsia" w:hAnsi="Microsoft YaHei UI" w:eastAsia="Microsoft YaHei UI" w:cs="Microsoft YaHei UI" w:asciiTheme="minorAscii"/>
          <w:b/>
          <w:i w:val="0"/>
          <w:caps w:val="0"/>
          <w:color w:val="333333"/>
          <w:spacing w:val="5"/>
          <w:sz w:val="21"/>
          <w:szCs w:val="21"/>
        </w:rPr>
      </w:pPr>
      <w:r>
        <w:rPr>
          <w:rFonts w:hint="default" w:hAnsi="Microsoft YaHei UI" w:eastAsia="仿宋_GB2312" w:cs="仿宋_GB2312" w:asciiTheme="minorAscii"/>
          <w:b w:val="0"/>
          <w:i w:val="0"/>
          <w:caps w:val="0"/>
          <w:color w:val="333333"/>
          <w:spacing w:val="5"/>
          <w:sz w:val="21"/>
          <w:szCs w:val="21"/>
          <w:bdr w:val="none" w:color="auto" w:sz="0" w:space="0"/>
          <w:shd w:val="clear" w:fill="FFFFFF"/>
        </w:rPr>
        <w:t>四、考试试题类型及时间如下：</w:t>
      </w:r>
    </w:p>
    <w:tbl>
      <w:tblPr>
        <w:tblW w:w="6767" w:type="dxa"/>
        <w:jc w:val="center"/>
        <w:tblInd w:w="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13"/>
        <w:gridCol w:w="1275"/>
        <w:gridCol w:w="1263"/>
        <w:gridCol w:w="2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0" w:hRule="atLeast"/>
          <w:jc w:val="center"/>
        </w:trPr>
        <w:tc>
          <w:tcPr>
            <w:tcW w:w="2013"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default" w:eastAsia="仿宋_GB2312" w:cs="仿宋_GB2312" w:asciiTheme="minorAscii"/>
                <w:b/>
                <w:i w:val="0"/>
                <w:caps w:val="0"/>
                <w:color w:val="333333"/>
                <w:spacing w:val="5"/>
                <w:sz w:val="21"/>
                <w:szCs w:val="21"/>
                <w:bdr w:val="none" w:color="auto" w:sz="0" w:space="0"/>
              </w:rPr>
              <w:t>科目名称</w:t>
            </w:r>
          </w:p>
        </w:tc>
        <w:tc>
          <w:tcPr>
            <w:tcW w:w="1275"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default" w:eastAsia="仿宋_GB2312" w:cs="仿宋_GB2312" w:asciiTheme="minorAscii"/>
                <w:b/>
                <w:i w:val="0"/>
                <w:caps w:val="0"/>
                <w:color w:val="333333"/>
                <w:spacing w:val="5"/>
                <w:sz w:val="21"/>
                <w:szCs w:val="21"/>
                <w:bdr w:val="none" w:color="auto" w:sz="0" w:space="0"/>
              </w:rPr>
              <w:t>考试时间（小时）</w:t>
            </w:r>
          </w:p>
        </w:tc>
        <w:tc>
          <w:tcPr>
            <w:tcW w:w="1263"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default" w:eastAsia="仿宋_GB2312" w:cs="仿宋_GB2312" w:asciiTheme="minorAscii"/>
                <w:b/>
                <w:i w:val="0"/>
                <w:caps w:val="0"/>
                <w:color w:val="333333"/>
                <w:spacing w:val="5"/>
                <w:sz w:val="21"/>
                <w:szCs w:val="21"/>
                <w:bdr w:val="none" w:color="auto" w:sz="0" w:space="0"/>
              </w:rPr>
              <w:t>满分记分</w:t>
            </w:r>
          </w:p>
        </w:tc>
        <w:tc>
          <w:tcPr>
            <w:tcW w:w="2216"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default" w:eastAsia="仿宋_GB2312" w:cs="仿宋_GB2312" w:asciiTheme="minorAscii"/>
                <w:b/>
                <w:i w:val="0"/>
                <w:caps w:val="0"/>
                <w:color w:val="333333"/>
                <w:spacing w:val="5"/>
                <w:sz w:val="21"/>
                <w:szCs w:val="21"/>
                <w:bdr w:val="none" w:color="auto" w:sz="0" w:space="0"/>
              </w:rPr>
              <w:t>试题类型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2013"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社会工作实务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（高级）</w:t>
            </w:r>
          </w:p>
        </w:tc>
        <w:tc>
          <w:tcPr>
            <w:tcW w:w="1275"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3</w:t>
            </w:r>
          </w:p>
        </w:tc>
        <w:tc>
          <w:tcPr>
            <w:tcW w:w="1263"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100</w:t>
            </w:r>
          </w:p>
        </w:tc>
        <w:tc>
          <w:tcPr>
            <w:tcW w:w="2216"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案例题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asciiTheme="minorAscii"/>
                <w:b/>
                <w:sz w:val="21"/>
                <w:szCs w:val="21"/>
              </w:rPr>
            </w:pPr>
            <w:r>
              <w:rPr>
                <w:rFonts w:hint="eastAsia" w:hAnsi="宋体" w:eastAsia="宋体" w:cs="宋体" w:asciiTheme="minorAscii"/>
                <w:b w:val="0"/>
                <w:i w:val="0"/>
                <w:caps w:val="0"/>
                <w:color w:val="333333"/>
                <w:spacing w:val="5"/>
                <w:sz w:val="21"/>
                <w:szCs w:val="21"/>
                <w:bdr w:val="none" w:color="auto" w:sz="0" w:space="0"/>
              </w:rPr>
              <w:t>论述题</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240" w:lineRule="atLeast"/>
        <w:ind w:left="0" w:right="0" w:firstLine="280"/>
        <w:jc w:val="left"/>
        <w:rPr>
          <w:rFonts w:hint="eastAsia" w:hAnsi="Microsoft YaHei UI" w:eastAsia="Microsoft YaHei UI" w:cs="Microsoft YaHei UI" w:asciiTheme="minorAscii"/>
          <w:b/>
          <w:i w:val="0"/>
          <w:caps w:val="0"/>
          <w:color w:val="333333"/>
          <w:spacing w:val="5"/>
          <w:sz w:val="21"/>
          <w:szCs w:val="21"/>
        </w:rPr>
      </w:pPr>
      <w:r>
        <w:rPr>
          <w:rFonts w:hint="default" w:hAnsi="Microsoft YaHei UI" w:eastAsia="仿宋_GB2312" w:cs="仿宋_GB2312" w:asciiTheme="minorAscii"/>
          <w:b w:val="0"/>
          <w:i w:val="0"/>
          <w:caps w:val="0"/>
          <w:color w:val="333333"/>
          <w:spacing w:val="5"/>
          <w:sz w:val="21"/>
          <w:szCs w:val="21"/>
          <w:bdr w:val="none" w:color="auto" w:sz="0" w:space="0"/>
          <w:shd w:val="clear" w:fill="FFFFFF"/>
        </w:rPr>
        <w:t>五、高级社会工作师考试考点原则上设在省会城市和直辖市的大、中专院校或高考定点学校。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4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素火</cp:lastModifiedBy>
  <dcterms:modified xsi:type="dcterms:W3CDTF">2019-08-28T02:41:47Z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