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80" w:type="dxa"/>
        <w:tblInd w:w="0" w:type="dxa"/>
        <w:shd w:val="clear"/>
        <w:tblLayout w:type="autofit"/>
        <w:tblCellMar>
          <w:top w:w="0" w:type="dxa"/>
          <w:left w:w="0" w:type="dxa"/>
          <w:bottom w:w="0" w:type="dxa"/>
          <w:right w:w="0" w:type="dxa"/>
        </w:tblCellMar>
      </w:tblPr>
      <w:tblGrid>
        <w:gridCol w:w="540"/>
        <w:gridCol w:w="1200"/>
        <w:gridCol w:w="500"/>
        <w:gridCol w:w="520"/>
        <w:gridCol w:w="800"/>
        <w:gridCol w:w="1080"/>
        <w:gridCol w:w="1080"/>
        <w:gridCol w:w="760"/>
        <w:gridCol w:w="1360"/>
        <w:gridCol w:w="2640"/>
      </w:tblGrid>
      <w:tr>
        <w:tblPrEx>
          <w:shd w:val="clear"/>
          <w:tblCellMar>
            <w:top w:w="0" w:type="dxa"/>
            <w:left w:w="0" w:type="dxa"/>
            <w:bottom w:w="0" w:type="dxa"/>
            <w:right w:w="0" w:type="dxa"/>
          </w:tblCellMar>
        </w:tblPrEx>
        <w:trPr>
          <w:trHeight w:val="1380" w:hRule="atLeast"/>
        </w:trPr>
        <w:tc>
          <w:tcPr>
            <w:tcW w:w="10480" w:type="dxa"/>
            <w:gridSpan w:val="10"/>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i w:val="0"/>
                <w:caps w:val="0"/>
                <w:color w:val="000000"/>
                <w:spacing w:val="0"/>
                <w:kern w:val="0"/>
                <w:sz w:val="32"/>
                <w:szCs w:val="32"/>
                <w:bdr w:val="none" w:color="auto" w:sz="0" w:space="0"/>
                <w:lang w:val="en-US" w:eastAsia="zh-CN" w:bidi="ar"/>
              </w:rPr>
              <w:t>福建省福州儿童医院</w:t>
            </w:r>
            <w:r>
              <w:rPr>
                <w:rFonts w:hint="eastAsia" w:ascii="宋体" w:hAnsi="宋体" w:eastAsia="宋体" w:cs="宋体"/>
                <w:b/>
                <w:i w:val="0"/>
                <w:caps w:val="0"/>
                <w:color w:val="000000"/>
                <w:spacing w:val="0"/>
                <w:kern w:val="0"/>
                <w:sz w:val="32"/>
                <w:szCs w:val="32"/>
                <w:bdr w:val="none" w:color="auto" w:sz="0" w:space="0"/>
                <w:lang w:val="en-US" w:eastAsia="zh-CN" w:bidi="ar"/>
              </w:rPr>
              <w:br w:type="textWrapping"/>
            </w:r>
            <w:r>
              <w:rPr>
                <w:rFonts w:hint="eastAsia" w:ascii="宋体" w:hAnsi="宋体" w:eastAsia="宋体" w:cs="宋体"/>
                <w:b/>
                <w:i w:val="0"/>
                <w:caps w:val="0"/>
                <w:color w:val="000000"/>
                <w:spacing w:val="0"/>
                <w:kern w:val="0"/>
                <w:sz w:val="32"/>
                <w:szCs w:val="32"/>
                <w:bdr w:val="none" w:color="auto" w:sz="0" w:space="0"/>
                <w:lang w:val="en-US" w:eastAsia="zh-CN" w:bidi="ar"/>
              </w:rPr>
              <w:t>2020年福州·高校毕业生供需见面会暨博士对接洽谈会岗位信息表</w:t>
            </w:r>
          </w:p>
        </w:tc>
      </w:tr>
      <w:tr>
        <w:tblPrEx>
          <w:shd w:val="clear"/>
          <w:tblCellMar>
            <w:top w:w="0" w:type="dxa"/>
            <w:left w:w="0" w:type="dxa"/>
            <w:bottom w:w="0" w:type="dxa"/>
            <w:right w:w="0" w:type="dxa"/>
          </w:tblCellMar>
        </w:tblPrEx>
        <w:trPr>
          <w:trHeight w:val="439" w:hRule="atLeast"/>
        </w:trPr>
        <w:tc>
          <w:tcPr>
            <w:tcW w:w="54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岗位代码</w:t>
            </w:r>
          </w:p>
        </w:tc>
        <w:tc>
          <w:tcPr>
            <w:tcW w:w="1200" w:type="dxa"/>
            <w:vMerge w:val="restart"/>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岗位名称</w:t>
            </w:r>
          </w:p>
        </w:tc>
        <w:tc>
          <w:tcPr>
            <w:tcW w:w="50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招聘人数</w:t>
            </w:r>
          </w:p>
        </w:tc>
        <w:tc>
          <w:tcPr>
            <w:tcW w:w="8240"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职  位  条  件</w:t>
            </w:r>
          </w:p>
        </w:tc>
      </w:tr>
      <w:tr>
        <w:tblPrEx>
          <w:shd w:val="clear"/>
          <w:tblCellMar>
            <w:top w:w="0" w:type="dxa"/>
            <w:left w:w="0" w:type="dxa"/>
            <w:bottom w:w="0" w:type="dxa"/>
            <w:right w:w="0" w:type="dxa"/>
          </w:tblCellMar>
        </w:tblPrEx>
        <w:trPr>
          <w:trHeight w:val="420" w:hRule="atLeast"/>
        </w:trPr>
        <w:tc>
          <w:tcPr>
            <w:tcW w:w="54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Arial" w:hAnsi="Arial" w:cs="Arial"/>
                <w:i w:val="0"/>
                <w:caps w:val="0"/>
                <w:color w:val="000000"/>
                <w:spacing w:val="0"/>
                <w:sz w:val="18"/>
                <w:szCs w:val="18"/>
              </w:rPr>
            </w:pPr>
          </w:p>
        </w:tc>
        <w:tc>
          <w:tcPr>
            <w:tcW w:w="1200" w:type="dxa"/>
            <w:vMerge w:val="continue"/>
            <w:tcBorders>
              <w:top w:val="single" w:color="auto" w:sz="8" w:space="0"/>
              <w:left w:val="nil"/>
              <w:bottom w:val="nil"/>
              <w:right w:val="single" w:color="auto" w:sz="8" w:space="0"/>
            </w:tcBorders>
            <w:shd w:val="clear"/>
            <w:tcMar>
              <w:left w:w="108" w:type="dxa"/>
              <w:right w:w="108" w:type="dxa"/>
            </w:tcMar>
            <w:vAlign w:val="center"/>
          </w:tcPr>
          <w:p>
            <w:pPr>
              <w:rPr>
                <w:rFonts w:hint="default" w:ascii="Arial" w:hAnsi="Arial" w:cs="Arial"/>
                <w:i w:val="0"/>
                <w:caps w:val="0"/>
                <w:color w:val="000000"/>
                <w:spacing w:val="0"/>
                <w:sz w:val="18"/>
                <w:szCs w:val="18"/>
              </w:rPr>
            </w:pPr>
          </w:p>
        </w:tc>
        <w:tc>
          <w:tcPr>
            <w:tcW w:w="50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Arial" w:hAnsi="Arial" w:cs="Arial"/>
                <w:i w:val="0"/>
                <w:caps w:val="0"/>
                <w:color w:val="000000"/>
                <w:spacing w:val="0"/>
                <w:sz w:val="18"/>
                <w:szCs w:val="18"/>
              </w:rPr>
            </w:pPr>
          </w:p>
        </w:tc>
        <w:tc>
          <w:tcPr>
            <w:tcW w:w="52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性别</w:t>
            </w:r>
          </w:p>
        </w:tc>
        <w:tc>
          <w:tcPr>
            <w:tcW w:w="80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年 龄</w:t>
            </w:r>
          </w:p>
        </w:tc>
        <w:tc>
          <w:tcPr>
            <w:tcW w:w="108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学历层次</w:t>
            </w:r>
          </w:p>
        </w:tc>
        <w:tc>
          <w:tcPr>
            <w:tcW w:w="108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学历类别</w:t>
            </w:r>
          </w:p>
        </w:tc>
        <w:tc>
          <w:tcPr>
            <w:tcW w:w="7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学位</w:t>
            </w:r>
          </w:p>
        </w:tc>
        <w:tc>
          <w:tcPr>
            <w:tcW w:w="13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专业要求</w:t>
            </w:r>
          </w:p>
        </w:tc>
        <w:tc>
          <w:tcPr>
            <w:tcW w:w="264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其他条件</w:t>
            </w:r>
          </w:p>
        </w:tc>
      </w:tr>
      <w:tr>
        <w:tblPrEx>
          <w:shd w:val="clear"/>
          <w:tblCellMar>
            <w:top w:w="0" w:type="dxa"/>
            <w:left w:w="0" w:type="dxa"/>
            <w:bottom w:w="0" w:type="dxa"/>
            <w:right w:w="0" w:type="dxa"/>
          </w:tblCellMar>
        </w:tblPrEx>
        <w:trPr>
          <w:trHeight w:val="619"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001</w:t>
            </w:r>
          </w:p>
        </w:tc>
        <w:tc>
          <w:tcPr>
            <w:tcW w:w="12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儿内科医师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w:t>
            </w:r>
          </w:p>
        </w:tc>
        <w:tc>
          <w:tcPr>
            <w:tcW w:w="5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临床医学类</w:t>
            </w:r>
          </w:p>
        </w:tc>
        <w:tc>
          <w:tcPr>
            <w:tcW w:w="26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60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002</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儿内科医师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中西医结合临床</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66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003</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儿外科医师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5</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临床医学类</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48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004</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肿瘤外科医师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临床医学类</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72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005</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内分泌遗传代谢科医师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临床医学类</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1542"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006</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检验科</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40周岁及以下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博士研究生</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博士</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临床检验诊断学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全日制普通高等医学院校毕业，研究生阶段须为全日制普通高等医学院校临床检验诊断学专业毕业，本科阶段须为全日制普通高等医学院校医学检验或医学检验技术专业毕业。</w:t>
            </w:r>
          </w:p>
        </w:tc>
      </w:tr>
      <w:tr>
        <w:tblPrEx>
          <w:shd w:val="clear"/>
          <w:tblCellMar>
            <w:top w:w="0" w:type="dxa"/>
            <w:left w:w="0" w:type="dxa"/>
            <w:bottom w:w="0" w:type="dxa"/>
            <w:right w:w="0" w:type="dxa"/>
          </w:tblCellMar>
        </w:tblPrEx>
        <w:trPr>
          <w:trHeight w:val="1122"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007</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儿内科医师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临床医学、儿科学、内科学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全日制普通高等医学院校毕业，本科阶段须为全日制普通高等医学院校临床医学或儿科学或内科学专业毕业。</w:t>
            </w:r>
          </w:p>
        </w:tc>
      </w:tr>
      <w:tr>
        <w:tblPrEx>
          <w:shd w:val="clear"/>
          <w:tblCellMar>
            <w:top w:w="0" w:type="dxa"/>
            <w:left w:w="0" w:type="dxa"/>
            <w:bottom w:w="0" w:type="dxa"/>
            <w:right w:w="0" w:type="dxa"/>
          </w:tblCellMar>
        </w:tblPrEx>
        <w:trPr>
          <w:trHeight w:val="90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008</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药剂科</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药理学、临床药学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全日制普通高等医学院校毕业，本科阶段须为全日制普通高等医学院校药学专业毕业</w:t>
            </w:r>
          </w:p>
        </w:tc>
      </w:tr>
      <w:tr>
        <w:tblPrEx>
          <w:shd w:val="clear"/>
          <w:tblCellMar>
            <w:top w:w="0" w:type="dxa"/>
            <w:left w:w="0" w:type="dxa"/>
            <w:bottom w:w="0" w:type="dxa"/>
            <w:right w:w="0" w:type="dxa"/>
          </w:tblCellMar>
        </w:tblPrEx>
        <w:trPr>
          <w:trHeight w:val="156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009</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内分泌遗传代谢科医师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2</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内科学、儿科学、遗传学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须为2020年全日制普通高等医学院校应届毕业生，内科学专业须为内分泌与代谢病研究方向。本科阶段须为全日制普通高等医学院校临床医学或儿科学专业五年学制毕业。</w:t>
            </w:r>
          </w:p>
        </w:tc>
      </w:tr>
      <w:tr>
        <w:tblPrEx>
          <w:shd w:val="clear"/>
          <w:tblCellMar>
            <w:top w:w="0" w:type="dxa"/>
            <w:left w:w="0" w:type="dxa"/>
            <w:bottom w:w="0" w:type="dxa"/>
            <w:right w:w="0" w:type="dxa"/>
          </w:tblCellMar>
        </w:tblPrEx>
        <w:trPr>
          <w:trHeight w:val="1039"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010</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肿瘤外科医师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肿瘤学、外科学、临床医学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全日制普通高等医学院校毕业，本科阶段须为全日制普通高等医学院校临床医学或外科学或肿瘤学专业毕业。</w:t>
            </w:r>
          </w:p>
        </w:tc>
      </w:tr>
      <w:tr>
        <w:tblPrEx>
          <w:shd w:val="clear"/>
          <w:tblCellMar>
            <w:top w:w="0" w:type="dxa"/>
            <w:left w:w="0" w:type="dxa"/>
            <w:bottom w:w="0" w:type="dxa"/>
            <w:right w:w="0" w:type="dxa"/>
          </w:tblCellMar>
        </w:tblPrEx>
        <w:trPr>
          <w:trHeight w:val="102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011</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儿保科医师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儿科学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全日制普通高等医学院校毕业，本科阶段须为全日制普通高等医学院校临床医学或儿科学或内科学专业五年制毕业。</w:t>
            </w:r>
          </w:p>
        </w:tc>
      </w:tr>
      <w:tr>
        <w:tblPrEx>
          <w:shd w:val="clear"/>
          <w:tblCellMar>
            <w:top w:w="0" w:type="dxa"/>
            <w:left w:w="0" w:type="dxa"/>
            <w:bottom w:w="0" w:type="dxa"/>
            <w:right w:w="0" w:type="dxa"/>
          </w:tblCellMar>
        </w:tblPrEx>
        <w:trPr>
          <w:trHeight w:val="108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012</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眼科医师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眼科学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全日制普通高等医学院校毕业，本科阶段须为全日制普通高等医学院校临床医学或眼科学专业毕业。</w:t>
            </w:r>
          </w:p>
        </w:tc>
      </w:tr>
      <w:tr>
        <w:tblPrEx>
          <w:shd w:val="clear"/>
          <w:tblCellMar>
            <w:top w:w="0" w:type="dxa"/>
            <w:left w:w="0" w:type="dxa"/>
            <w:bottom w:w="0" w:type="dxa"/>
            <w:right w:w="0" w:type="dxa"/>
          </w:tblCellMar>
        </w:tblPrEx>
        <w:trPr>
          <w:trHeight w:val="72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013</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眼科视光师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眼视光学、眼科学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84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014</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病理科分子技术员</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病理学与病理生理学、生物化学与分子生物学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w:t>
            </w:r>
          </w:p>
        </w:tc>
      </w:tr>
      <w:tr>
        <w:tblPrEx>
          <w:shd w:val="clear"/>
          <w:tblCellMar>
            <w:top w:w="0" w:type="dxa"/>
            <w:left w:w="0" w:type="dxa"/>
            <w:bottom w:w="0" w:type="dxa"/>
            <w:right w:w="0" w:type="dxa"/>
          </w:tblCellMar>
        </w:tblPrEx>
        <w:trPr>
          <w:trHeight w:val="900"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015</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放射科医师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30周岁及以下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医学影像学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全日制普通高等医学院校毕业，须为专业学位硕士，须取得放射专业住院医师规范化培训合格证。</w:t>
            </w:r>
          </w:p>
        </w:tc>
      </w:tr>
      <w:tr>
        <w:tblPrEx>
          <w:shd w:val="clear"/>
          <w:tblCellMar>
            <w:top w:w="0" w:type="dxa"/>
            <w:left w:w="0" w:type="dxa"/>
            <w:bottom w:w="0" w:type="dxa"/>
            <w:right w:w="0" w:type="dxa"/>
          </w:tblCellMar>
        </w:tblPrEx>
        <w:trPr>
          <w:trHeight w:val="1242"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016</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检验科技师</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1</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临床检验诊断学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全日制普通高等医学院校毕业，本科阶段须为全日制普通高等医学院校医学检验、医学检验技术专业毕业。</w:t>
            </w:r>
          </w:p>
        </w:tc>
      </w:tr>
      <w:tr>
        <w:tblPrEx>
          <w:shd w:val="clear"/>
          <w:tblCellMar>
            <w:top w:w="0" w:type="dxa"/>
            <w:left w:w="0" w:type="dxa"/>
            <w:bottom w:w="0" w:type="dxa"/>
            <w:right w:w="0" w:type="dxa"/>
          </w:tblCellMar>
        </w:tblPrEx>
        <w:trPr>
          <w:trHeight w:val="1219" w:hRule="atLeast"/>
        </w:trPr>
        <w:tc>
          <w:tcPr>
            <w:tcW w:w="5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017</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儿科护理</w:t>
            </w:r>
          </w:p>
        </w:tc>
        <w:tc>
          <w:tcPr>
            <w:tcW w:w="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2</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不限</w:t>
            </w:r>
          </w:p>
        </w:tc>
        <w:tc>
          <w:tcPr>
            <w:tcW w:w="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35周岁及以下</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研究生及以上</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全日制普通高等院校</w:t>
            </w:r>
          </w:p>
        </w:tc>
        <w:tc>
          <w:tcPr>
            <w:tcW w:w="7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硕士或以上学位</w:t>
            </w:r>
          </w:p>
        </w:tc>
        <w:tc>
          <w:tcPr>
            <w:tcW w:w="1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i w:val="0"/>
                <w:caps w:val="0"/>
                <w:color w:val="000000"/>
                <w:spacing w:val="0"/>
                <w:kern w:val="0"/>
                <w:sz w:val="18"/>
                <w:szCs w:val="18"/>
                <w:bdr w:val="none" w:color="auto" w:sz="0" w:space="0"/>
                <w:lang w:val="en-US" w:eastAsia="zh-CN" w:bidi="ar"/>
              </w:rPr>
              <w:t>护理学</w:t>
            </w:r>
          </w:p>
        </w:tc>
        <w:tc>
          <w:tcPr>
            <w:tcW w:w="26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全日制普通高等医学院校毕业，本科阶段须为全日制普通高等医学院校四年制护理类毕业。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F36AB"/>
    <w:rsid w:val="0C2F36AB"/>
    <w:rsid w:val="7F7F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2020-01-25T01:51:00Z</dcterms:created>
  <dc:creator>ぺ灬cc果冻ル</dc:creator>
  <cp:lastModifiedBy>ぺ灬cc果冻ル</cp:lastModifiedBy>
  <dcterms:modified xsi:type="dcterms:W3CDTF">2020-01-25T01:54:04Z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