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0" w:beforeAutospacing="0" w:after="0" w:afterAutospacing="0" w:line="751" w:lineRule="atLeast"/>
        <w:ind w:left="0" w:right="0" w:firstLine="0"/>
        <w:jc w:val="center"/>
        <w:rPr>
          <w:rFonts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63"/>
          <w:sz w:val="28"/>
          <w:szCs w:val="28"/>
          <w:bdr w:val="none" w:color="auto" w:sz="0" w:space="0"/>
        </w:rPr>
        <w:t>山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63"/>
          <w:sz w:val="28"/>
          <w:szCs w:val="28"/>
          <w:bdr w:val="none" w:color="auto" w:sz="0" w:space="0"/>
        </w:rPr>
        <w:t>西医科大学第二医院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招聘计划、岗位及要求</w:t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889"/>
        <w:gridCol w:w="1052"/>
        <w:gridCol w:w="2229"/>
        <w:gridCol w:w="1227"/>
        <w:gridCol w:w="13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学历要求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专业要求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其它要求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护理岗位一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120人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25周岁及以下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普通高中起点，第一学历全日制本科及以上学历学位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护理学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非应届人员需具有护士执业资质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护理岗位二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10人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30周岁及以下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普通高中起点，硕士研究生及以上学历学位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护理学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非应届人员需具有护士执业资质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护理岗位三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3人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25周岁及以下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普通高中起点，全日制大专及以上学历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助产专业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非应届人员需具有护士执业资质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注：25周岁及以下是指1994年1月6日（不含1月6日）以后出生；30周岁及以下是指1989年1月6日（不含1月6日）以后出生。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C4848"/>
    <w:rsid w:val="1F7C48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2020-01-06T06:36:00Z</dcterms:created>
  <dc:creator>ASUS</dc:creator>
  <cp:lastModifiedBy>ASUS</cp:lastModifiedBy>
  <dcterms:modified xsi:type="dcterms:W3CDTF">2020-01-06T06:37:16Z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