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spacing w:line="560" w:lineRule="exact"/>
        <w:jc w:val="center"/>
        <w:outlineLvl w:val="1"/>
        <w:rPr>
          <w:rFonts w:hint="eastAsia" w:ascii="方正小标宋简体" w:hAnsi="宋体" w:eastAsia="方正小标宋简体" w:cs="宋体"/>
          <w:color w:val="auto"/>
          <w:sz w:val="44"/>
          <w:szCs w:val="44"/>
        </w:rPr>
      </w:pPr>
      <w:bookmarkStart w:id="0" w:name="_GoBack"/>
      <w:r>
        <w:rPr>
          <w:rFonts w:hint="eastAsia" w:ascii="方正小标宋简体" w:hAnsi="宋体" w:eastAsia="方正小标宋简体" w:cs="宋体"/>
          <w:color w:val="auto"/>
          <w:sz w:val="44"/>
          <w:szCs w:val="44"/>
        </w:rPr>
        <w:t>中小学教师资格考试（笔试）科目代码列表</w:t>
      </w:r>
      <w:r>
        <w:rPr>
          <w:rFonts w:hint="eastAsia" w:ascii="方正小标宋简体" w:hAnsi="宋体" w:eastAsia="方正小标宋简体" w:cs="宋体"/>
          <w:color w:val="auto"/>
          <w:sz w:val="44"/>
          <w:szCs w:val="44"/>
          <w:lang w:eastAsia="zh-CN"/>
        </w:rPr>
        <w:t>及相关说明</w:t>
      </w:r>
      <w:bookmarkEnd w:id="0"/>
    </w:p>
    <w:tbl>
      <w:tblPr>
        <w:tblStyle w:val="5"/>
        <w:tblW w:w="9505" w:type="dxa"/>
        <w:jc w:val="center"/>
        <w:tblInd w:w="-48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8"/>
        <w:gridCol w:w="1266"/>
        <w:gridCol w:w="5261"/>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blHeader/>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序号</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color w:val="auto"/>
              </w:rPr>
            </w:pPr>
            <w:r>
              <w:rPr>
                <w:rFonts w:hint="eastAsia" w:ascii="仿宋_GB2312" w:hAnsi="仿宋_GB2312" w:eastAsia="仿宋_GB2312" w:cs="仿宋_GB2312"/>
                <w:b/>
                <w:bCs/>
                <w:color w:val="auto"/>
                <w:sz w:val="24"/>
                <w:szCs w:val="28"/>
              </w:rPr>
              <w:t>科目代码</w:t>
            </w:r>
          </w:p>
        </w:tc>
        <w:tc>
          <w:tcPr>
            <w:tcW w:w="526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科目名称</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（一）</w:t>
            </w: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b/>
                <w:bCs/>
                <w:color w:val="auto"/>
                <w:sz w:val="24"/>
                <w:szCs w:val="28"/>
              </w:rPr>
              <w:t>幼儿园</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b/>
                <w:bCs/>
                <w:color w:val="auto"/>
                <w:sz w:val="24"/>
                <w:szCs w:val="28"/>
              </w:rPr>
            </w:pP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101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综合素质（幼儿园）</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102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保教知识与能力</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（二）</w:t>
            </w: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b/>
                <w:bCs/>
                <w:color w:val="auto"/>
                <w:sz w:val="24"/>
                <w:szCs w:val="28"/>
              </w:rPr>
              <w:t>小学</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b/>
                <w:bCs/>
                <w:color w:val="auto"/>
                <w:sz w:val="24"/>
                <w:szCs w:val="28"/>
              </w:rPr>
            </w:pP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201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综合素质（小学）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201A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综合素质（小学）（音体美专业）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202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教育教学知识与能力</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202A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教育教学知识与能力（音体美专业）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（三）</w:t>
            </w: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b/>
                <w:bCs/>
                <w:color w:val="auto"/>
                <w:sz w:val="24"/>
                <w:szCs w:val="28"/>
              </w:rPr>
              <w:t>初中</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b/>
                <w:bCs/>
                <w:color w:val="auto"/>
                <w:sz w:val="24"/>
                <w:szCs w:val="28"/>
              </w:rPr>
            </w:pP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301A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综合素质（中学）（音体美专业）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教育知识与能力</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302A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教育知识与能力（音体美专业）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303</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语文学科知识与教学能力（初级中学）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304</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数学学科知识与教学能力（初级中学）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305</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英语学科知识与教学能力（初级中学）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306</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物理学科知识与教学能力（初级中学）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307</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化学学科知识与教学能力（初级中学）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308</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生物学科知识与教学能力（初级中学）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309</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思想品德学科知识与教学能力（初级中学）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310</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历史学科知识与教学能力（初级中学）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地理学科知识与教学能力（初级中学）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音乐学科知识与教学能力（初级中学）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313</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体育与健康学科知识与教学能力（初级中学）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314</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美术学科知识与教学能力（初级中学）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315</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信息技术学科知识与教学能力（初级中学）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316</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历史与社会学科知识与教学能力（初级中学）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3"/>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317</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科学学科知识与教学能力（初级中学）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r>
              <w:rPr>
                <w:rFonts w:hint="eastAsia" w:ascii="仿宋_GB2312" w:hAnsi="仿宋_GB2312" w:eastAsia="仿宋_GB2312" w:cs="仿宋_GB2312"/>
                <w:b/>
                <w:bCs/>
                <w:color w:val="auto"/>
                <w:sz w:val="24"/>
                <w:szCs w:val="28"/>
              </w:rPr>
              <w:t>（四）</w:t>
            </w:r>
          </w:p>
        </w:tc>
        <w:tc>
          <w:tcPr>
            <w:tcW w:w="1266" w:type="dxa"/>
            <w:vAlign w:val="center"/>
          </w:tcPr>
          <w:p>
            <w:pPr>
              <w:pStyle w:val="2"/>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center"/>
              <w:textAlignment w:val="auto"/>
              <w:outlineLvl w:val="9"/>
              <w:rPr>
                <w:color w:val="auto"/>
              </w:rPr>
            </w:pPr>
            <w:r>
              <w:rPr>
                <w:rFonts w:hint="eastAsia" w:ascii="仿宋_GB2312" w:hAnsi="仿宋_GB2312" w:eastAsia="仿宋_GB2312" w:cs="仿宋_GB2312"/>
                <w:b/>
                <w:bCs/>
                <w:color w:val="auto"/>
                <w:sz w:val="24"/>
                <w:szCs w:val="28"/>
              </w:rPr>
              <w:t>高中</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0" w:firstLineChars="0"/>
              <w:jc w:val="left"/>
              <w:textAlignment w:val="auto"/>
              <w:outlineLvl w:val="9"/>
              <w:rPr>
                <w:rFonts w:hint="eastAsia" w:ascii="仿宋_GB2312" w:hAnsi="仿宋_GB2312" w:eastAsia="仿宋_GB2312" w:cs="仿宋_GB2312"/>
                <w:b/>
                <w:bCs/>
                <w:color w:val="auto"/>
                <w:sz w:val="24"/>
                <w:szCs w:val="28"/>
              </w:rPr>
            </w:pP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b/>
                <w:bCs/>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301A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综合素质（中学）（音体美专业）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教育知识与能力</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302A</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教育知识与能力（音体美专业）</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403</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语文学科知识与教学能力（高级中学）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404</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数学学科知识与教学能力（高级中学）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405</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英语学科知识与教学能力（高级中学）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406</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物理学科知识与教学能力（高级中学）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407</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化学学科知识与教学能力（高级中学）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pStyle w:val="2"/>
              <w:keepNext w:val="0"/>
              <w:keepLines w:val="0"/>
              <w:pageBreakBefore w:val="0"/>
              <w:widowControl w:val="0"/>
              <w:numPr>
                <w:ilvl w:val="0"/>
                <w:numId w:val="4"/>
              </w:numPr>
              <w:kinsoku/>
              <w:wordWrap/>
              <w:overflowPunct/>
              <w:topLinePunct w:val="0"/>
              <w:autoSpaceDE/>
              <w:autoSpaceDN/>
              <w:bidi w:val="0"/>
              <w:adjustRightInd/>
              <w:snapToGrid w:val="0"/>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408</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生物学科知识与教学能力（高级中学）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409</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思想政治学科知识与教学能力（高级中学）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410</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历史学科知识与教学能力（高级中学）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411</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地理学科知识与教学能力（高级中学）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412</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音乐学科知识与教学能力（高级中学）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413</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体育与健康学科知识与教学能力（高级中学）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414</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美术学科知识与教学能力（高级中学）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415</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信息技术学科知识与教学能力（高级中学）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38" w:type="dxa"/>
            <w:vAlign w:val="center"/>
          </w:tcPr>
          <w:p>
            <w:pPr>
              <w:keepNext w:val="0"/>
              <w:keepLines w:val="0"/>
              <w:pageBreakBefore w:val="0"/>
              <w:widowControl w:val="0"/>
              <w:numPr>
                <w:ilvl w:val="0"/>
                <w:numId w:val="4"/>
              </w:numPr>
              <w:kinsoku/>
              <w:wordWrap/>
              <w:overflowPunct/>
              <w:topLinePunct w:val="0"/>
              <w:autoSpaceDE/>
              <w:autoSpaceDN/>
              <w:bidi w:val="0"/>
              <w:adjustRightInd/>
              <w:spacing w:line="300" w:lineRule="exact"/>
              <w:ind w:left="0" w:leftChars="0" w:right="0" w:rightChars="0" w:firstLine="0"/>
              <w:jc w:val="center"/>
              <w:textAlignment w:val="auto"/>
              <w:outlineLvl w:val="9"/>
              <w:rPr>
                <w:rFonts w:hint="eastAsia" w:ascii="仿宋_GB2312" w:hAnsi="仿宋_GB2312" w:eastAsia="仿宋_GB2312" w:cs="仿宋_GB2312"/>
                <w:color w:val="auto"/>
                <w:sz w:val="24"/>
                <w:szCs w:val="28"/>
              </w:rPr>
            </w:pPr>
          </w:p>
        </w:tc>
        <w:tc>
          <w:tcPr>
            <w:tcW w:w="1266"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color w:val="auto"/>
              </w:rPr>
            </w:pPr>
            <w:r>
              <w:rPr>
                <w:rFonts w:hint="eastAsia" w:ascii="仿宋_GB2312" w:hAnsi="仿宋_GB2312" w:eastAsia="仿宋_GB2312" w:cs="仿宋_GB2312"/>
                <w:color w:val="auto"/>
                <w:sz w:val="24"/>
                <w:szCs w:val="28"/>
              </w:rPr>
              <w:t>418</w:t>
            </w:r>
          </w:p>
        </w:tc>
        <w:tc>
          <w:tcPr>
            <w:tcW w:w="5261"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left"/>
              <w:textAlignment w:val="auto"/>
              <w:outlineLvl w:val="9"/>
              <w:rPr>
                <w:rFonts w:hint="eastAsia" w:ascii="仿宋_GB2312" w:hAnsi="仿宋_GB2312" w:eastAsia="仿宋_GB2312" w:cs="仿宋_GB2312"/>
                <w:color w:val="auto"/>
                <w:sz w:val="24"/>
                <w:szCs w:val="28"/>
              </w:rPr>
            </w:pPr>
            <w:r>
              <w:rPr>
                <w:rFonts w:hint="eastAsia" w:ascii="仿宋_GB2312" w:hAnsi="仿宋_GB2312" w:eastAsia="仿宋_GB2312" w:cs="仿宋_GB2312"/>
                <w:color w:val="auto"/>
                <w:sz w:val="24"/>
                <w:szCs w:val="28"/>
              </w:rPr>
              <w:t>通用技术学科知识与教学能力（高级中学）</w:t>
            </w:r>
          </w:p>
        </w:tc>
        <w:tc>
          <w:tcPr>
            <w:tcW w:w="2040" w:type="dxa"/>
            <w:vAlign w:val="center"/>
          </w:tcPr>
          <w:p>
            <w:pPr>
              <w:keepNext w:val="0"/>
              <w:keepLines w:val="0"/>
              <w:pageBreakBefore w:val="0"/>
              <w:widowControl w:val="0"/>
              <w:kinsoku/>
              <w:wordWrap/>
              <w:overflowPunct/>
              <w:topLinePunct w:val="0"/>
              <w:autoSpaceDE/>
              <w:autoSpaceDN/>
              <w:bidi w:val="0"/>
              <w:adjustRightInd/>
              <w:spacing w:line="300" w:lineRule="exact"/>
              <w:ind w:left="0" w:leftChars="0" w:right="0" w:rightChars="0"/>
              <w:jc w:val="center"/>
              <w:textAlignment w:val="auto"/>
              <w:outlineLvl w:val="9"/>
              <w:rPr>
                <w:rFonts w:hint="eastAsia" w:ascii="仿宋_GB2312" w:hAnsi="仿宋_GB2312" w:eastAsia="仿宋_GB2312" w:cs="仿宋_GB2312"/>
                <w:color w:val="auto"/>
                <w:sz w:val="24"/>
                <w:szCs w:val="28"/>
              </w:rPr>
            </w:pP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中小学教师资格考试笔试科目说明如下:</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1.幼儿园教师资格考试笔试科目共两科：科目一为《综合素质》，科目二为《保教知识与能力》。</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2.小学教师资格考试笔试科目共两科：科目一为《综合素质》，科目二为《教育教学知识与能力》。</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3.初级中学、高级中学教师资格考试笔试科目共三科：科目一为《综合素质》，科目二为《教育知识与能力》，科目三为《学科知识与教学能力》。</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5.申请中等职业学校文化课教师资格的人员参加高级中学教师资格考试。</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6.中等职业学校专业课教师和中等职业学校实习指导教师资格考试科目共三科：科目一为《综合素质》，科目二为《教育知识与能力》，科目三为《专业知识与教学能力》，其中科目三的考查结合面试环节进行。</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音、体、美专业考生的笔试公共科目一、科目二（科目代码：201、202、301、302）实行单独编码（相应科目代码：201A、202A、301A、302A），考试内容暂与原科目相同。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41" w:firstLineChars="147"/>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8.初中、高中、中职文化课类别增设“心理健康教育”、“日语”、“俄语”学科的笔试科目一、科目二已与开考学科一致，科目三《学科知识与教学能力》结合面试一并考核。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F5088"/>
    <w:rsid w:val="73A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szCs w:val="24"/>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2020-01-03T03:52:00Z</dcterms:created>
  <dc:creator>黄秋发</dc:creator>
  <cp:lastModifiedBy>黄秋发</cp:lastModifiedBy>
  <dcterms:modified xsi:type="dcterms:W3CDTF">2020-01-03T03:53:21Z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