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0" w:afterAutospacing="0" w:line="463" w:lineRule="atLeast"/>
        <w:ind w:left="0" w:right="0" w:firstLine="538"/>
        <w:jc w:val="center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</w:rPr>
      </w:pPr>
      <w:r>
        <w:rPr>
          <w:rFonts w:ascii="仿宋_gb2312" w:hAnsi="仿宋_gb2312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  <w:lang w:val="en-US"/>
        </w:rPr>
        <w:t>2020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  <w:lang w:val="en-US"/>
        </w:rPr>
        <w:t>年度专职辅导员拟聘人员名单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376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  <w:drawing>
          <wp:inline distT="0" distB="0" distL="114300" distR="114300">
            <wp:extent cx="4762500" cy="1171575"/>
            <wp:effectExtent l="0" t="0" r="0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C470D"/>
    <w:rsid w:val="6FAC47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2019-12-21T03:04:00Z</dcterms:created>
  <dc:creator>ASUS</dc:creator>
  <cp:lastModifiedBy>ASUS</cp:lastModifiedBy>
  <dcterms:modified xsi:type="dcterms:W3CDTF">2019-12-21T03:04:35Z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