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招聘计划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本次招聘按照公开、平等、竞争、择优的原则，采取公开报名、统一考试、全面考察、择优聘用的方式进行。具体的招聘单位、职位、人数及资格条件等详见2019年青田县司法局招聘编外工作人员招聘计划表（见附件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6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   原则上招聘职位计划数和报名人数的比例不足1:2的，按比例核减直至取消该职位招聘计划。特殊情况按照符合报名资格条件人员的人数参加考试。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138"/>
        <w:gridCol w:w="797"/>
        <w:gridCol w:w="843"/>
        <w:gridCol w:w="1410"/>
        <w:gridCol w:w="1018"/>
        <w:gridCol w:w="23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2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招考人数</w:t>
            </w:r>
          </w:p>
        </w:tc>
        <w:tc>
          <w:tcPr>
            <w:tcW w:w="8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9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6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26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0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6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青田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愿意到乡镇司法所，从事社区矫正工作。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43"/>
    <w:rsid w:val="001F5D43"/>
    <w:rsid w:val="006464A2"/>
    <w:rsid w:val="02BC261C"/>
    <w:rsid w:val="474B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qFormat/>
    <w:uiPriority w:val="0"/>
    <w:pPr>
      <w:snapToGrid w:val="0"/>
      <w:spacing w:line="360" w:lineRule="atLeast"/>
      <w:ind w:left="1512" w:hanging="1512"/>
    </w:pPr>
    <w:rPr>
      <w:rFonts w:ascii="Times New Roman" w:hAnsi="Times New Roman" w:eastAsia="仿宋_GB2312"/>
      <w:sz w:val="30"/>
      <w:szCs w:val="20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正文文本缩进 Char"/>
    <w:basedOn w:val="5"/>
    <w:link w:val="2"/>
    <w:qFormat/>
    <w:uiPriority w:val="0"/>
    <w:rPr>
      <w:rFonts w:ascii="Times New Roman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994</Characters>
  <Lines>8</Lines>
  <Paragraphs>2</Paragraphs>
  <TotalTime>1</TotalTime>
  <ScaleCrop>false</ScaleCrop>
  <LinksUpToDate>false</LinksUpToDate>
  <CharactersWithSpaces>1166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2019-12-17T06:12:00Z</dcterms:created>
  <dc:creator>zheng</dc:creator>
  <cp:lastModifiedBy>国超科技</cp:lastModifiedBy>
  <dcterms:modified xsi:type="dcterms:W3CDTF">2019-12-18T02:32:52Z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