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60" w:lineRule="exact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附件1：</w:t>
      </w:r>
    </w:p>
    <w:p>
      <w:pPr>
        <w:spacing w:line="460" w:lineRule="exact"/>
        <w:jc w:val="center"/>
        <w:rPr>
          <w:rFonts w:hint="eastAsia" w:ascii="仿宋_GB2312" w:hAnsi="STZhongsong" w:eastAsia="仿宋_GB2312" w:cs="Times New Roman"/>
          <w:b/>
          <w:sz w:val="40"/>
          <w:szCs w:val="44"/>
        </w:rPr>
      </w:pPr>
      <w:r>
        <w:rPr>
          <w:rFonts w:hint="eastAsia" w:ascii="仿宋_GB2312" w:hAnsi="STZhongsong" w:eastAsia="仿宋_GB2312" w:cs="Times New Roman"/>
          <w:b/>
          <w:sz w:val="40"/>
          <w:szCs w:val="44"/>
        </w:rPr>
        <w:t>招聘需求信息表</w:t>
      </w:r>
    </w:p>
    <w:p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（紧缺专业或特别优秀人才可不受所列专业、学历、人数等限制）</w:t>
      </w:r>
    </w:p>
    <w:tbl>
      <w:tblPr>
        <w:tblStyle w:val="2"/>
        <w:tblW w:w="11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660"/>
        <w:gridCol w:w="1240"/>
        <w:gridCol w:w="760"/>
        <w:gridCol w:w="228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临床各科室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内科学（内分泌与代谢病）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血液肿瘤科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内科学（血液病）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主治及以上职称或完成规培者优先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消化内科（腔镜中心）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熟练掌握腔镜检查治疗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内科学（神经病学）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外科学（神外）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外科学（骨外）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外科学（普外）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完成规培者优先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麻醉医学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耳鼻咽喉科学/中医五官科学（耳鼻咽喉）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口腔医学/口腔临床医学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临床检验诊断学/医学技术（医学检验技术）/病原生物学/病理学与病理生理学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医务科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临床各科室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（内科、外科、妇产科、儿科、急诊科、重症医学科、精神科等）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临床医学/重症医学/急诊医学/麻醉学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口腔医学/口腔临床医学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紧缺专业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肛肠科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临床医学/中医学/中医外科学（肛肠）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女性，完成规培者优先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医学检验技术/医学检验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临床医学/医学检验/医学检验技术/病理学与病理生理学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社区卫生服务中心或社区门诊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全科医学/公共卫生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体检-超声科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女性，完成规培者优先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院长办公室、人力资源科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卫生事业管理/人力资源管理/中文文秘类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病案室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医学信息学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会计学或财务管理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生物医学工程/医疗器械维修/电子/机械专业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120医师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具有执业资质，相关工作经历&gt;5年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社区卫生服务中心或社区门诊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临床医学或全科医学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社区卫生服务中心或社区门诊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心电超声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具有执业资质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根据医院发展实时调整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Zhong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C110B"/>
    <w:rsid w:val="5D6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2019-11-28T01:49:00Z</dcterms:created>
  <dc:creator>公子风</dc:creator>
  <cp:lastModifiedBy>公子风</cp:lastModifiedBy>
  <dcterms:modified xsi:type="dcterms:W3CDTF">2019-11-28T01:50:13Z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