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280" w:type="dxa"/>
        <w:tblCellSpacing w:w="0" w:type="dxa"/>
        <w:tblInd w:w="2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1082"/>
        <w:gridCol w:w="1052"/>
        <w:gridCol w:w="1067"/>
        <w:gridCol w:w="1322"/>
        <w:gridCol w:w="26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岗位序号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1-01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1.年龄30周岁及以下（1989年12月2日及以后出生）；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2.非2020届毕业生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color w:val="40404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lang w:val="en-US" w:eastAsia="zh-CN" w:bidi="ar"/>
              </w:rPr>
              <w:t>还须具有三级医院工作经历，同时具有护士执业资格证书或护理专业技术职务任职资格证书。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A1B25"/>
    <w:rsid w:val="522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2019-12-03T08:04:00Z</dcterms:created>
  <dc:creator>Yan</dc:creator>
  <cp:lastModifiedBy>Yan</cp:lastModifiedBy>
  <dcterms:modified xsi:type="dcterms:W3CDTF">2019-12-03T08:04:18Z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