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宁夏交通投资集团有限公司2019年市场化选聘权属企业高级管理人员公告</w:t>
      </w:r>
    </w:p>
    <w:p>
      <w:pPr>
        <w:spacing w:line="600" w:lineRule="exact"/>
        <w:jc w:val="center"/>
        <w:rPr>
          <w:rFonts w:ascii="仿宋" w:eastAsia="仿宋" w:cs="宋体"/>
          <w:w w:val="90"/>
          <w:kern w:val="15"/>
        </w:rPr>
      </w:pPr>
    </w:p>
    <w:p>
      <w:pPr>
        <w:spacing w:line="600" w:lineRule="exact"/>
        <w:ind w:firstLine="720" w:firstLineChars="225"/>
      </w:pPr>
      <w:r>
        <w:rPr>
          <w:rFonts w:hint="eastAsia"/>
        </w:rPr>
        <w:t>宁夏交通科学研究所有限公司成立于1979年，前身为原交通运输厅属国有企业，现改制为宁夏交通投资集团有限公司下属全资子公司，注册资本1.1亿，净资产1.6亿。拥有宁夏公路工程质量检测中心（有限公司）、宁夏科立诚工程监理有限公司、宁夏东和交通工程开发有限公司三家全资子公司。公司现具备公路养护二类、三类甲乙级资质，公路检测综合甲级资质、市政施工总承包三级资质、公路工程监理甲级资质、建设厅见证取样检测资质、市政工程专项检测资质、公路交通安全（公路机电二级）专项等资质，是一家集公路养护、试验检测、监理、计量检定、环境影响评价、水土保持方案编制及环境监测、公路交通安全设施施工于一体的国有企业。</w:t>
      </w:r>
    </w:p>
    <w:p>
      <w:pPr>
        <w:spacing w:line="600" w:lineRule="exact"/>
        <w:ind w:firstLine="720" w:firstLineChars="225"/>
        <w:rPr>
          <w:rFonts w:hAnsi="仿宋_GB2312" w:cs="仿宋_GB2312"/>
        </w:rPr>
      </w:pPr>
      <w:r>
        <w:rPr>
          <w:rFonts w:hint="eastAsia" w:hAnsi="仿宋_GB2312" w:cs="仿宋_GB2312"/>
        </w:rPr>
        <w:t>为贯彻落实自治区党委组织部、自治区国资委党委关于推进区属国有企业市场化选聘权属企业高级管理人员的有关要求，建立健全集团公司市场化用人机制，根据实际工作需要面向社会公开招聘权属企业高级管理人员，现将有关事项公告如下：</w:t>
      </w:r>
    </w:p>
    <w:p>
      <w:pPr>
        <w:spacing w:line="600" w:lineRule="exact"/>
        <w:ind w:firstLine="627" w:firstLineChars="196"/>
        <w:rPr>
          <w:rFonts w:ascii="黑体" w:hAnsi="黑体" w:eastAsia="黑体" w:cs="黑体"/>
        </w:rPr>
      </w:pPr>
      <w:r>
        <w:rPr>
          <w:rFonts w:hint="eastAsia" w:ascii="黑体" w:hAnsi="黑体" w:eastAsia="黑体" w:cs="黑体"/>
        </w:rPr>
        <w:t>一、选聘原则</w:t>
      </w:r>
    </w:p>
    <w:p>
      <w:pPr>
        <w:spacing w:line="600" w:lineRule="exact"/>
        <w:ind w:firstLine="720" w:firstLineChars="225"/>
        <w:rPr>
          <w:rFonts w:hAnsi="仿宋_GB2312" w:cs="仿宋_GB2312"/>
        </w:rPr>
      </w:pPr>
      <w:r>
        <w:rPr>
          <w:rFonts w:hint="eastAsia" w:hAnsi="仿宋_GB2312" w:cs="仿宋_GB2312"/>
        </w:rPr>
        <w:t>坚持党管干部，发挥市场机制作用，德才兼备、以德为先、任人唯贤，事业为上、人岗相适、人事相宜，组织认可、出资人认可、市场认可、职工认可，依规依纪依法。</w:t>
      </w:r>
    </w:p>
    <w:p>
      <w:pPr>
        <w:spacing w:line="600" w:lineRule="exact"/>
        <w:ind w:firstLine="720" w:firstLineChars="225"/>
        <w:rPr>
          <w:rFonts w:hAnsi="仿宋_GB2312" w:cs="仿宋_GB2312"/>
        </w:rPr>
      </w:pPr>
      <w:r>
        <w:rPr>
          <w:rFonts w:hint="eastAsia" w:ascii="黑体" w:hAnsi="黑体" w:eastAsia="黑体" w:cs="黑体"/>
        </w:rPr>
        <w:t>二、选聘职位</w:t>
      </w:r>
    </w:p>
    <w:p>
      <w:pPr>
        <w:spacing w:line="600" w:lineRule="exact"/>
        <w:ind w:firstLine="640" w:firstLineChars="200"/>
        <w:rPr>
          <w:rFonts w:hAnsi="仿宋_GB2312" w:cs="仿宋_GB2312"/>
        </w:rPr>
      </w:pPr>
      <w:r>
        <w:rPr>
          <w:rFonts w:hint="eastAsia" w:hAnsi="仿宋_GB2312" w:cs="仿宋_GB2312"/>
        </w:rPr>
        <w:t>宁夏交通科学研究所有限公司总工程师1名。</w:t>
      </w:r>
    </w:p>
    <w:p>
      <w:pPr>
        <w:spacing w:line="600" w:lineRule="exact"/>
        <w:ind w:firstLine="640" w:firstLineChars="200"/>
        <w:rPr>
          <w:rFonts w:ascii="黑体" w:hAnsi="黑体" w:eastAsia="黑体" w:cs="黑体"/>
        </w:rPr>
      </w:pPr>
      <w:r>
        <w:rPr>
          <w:rFonts w:hint="eastAsia" w:ascii="黑体" w:hAnsi="黑体" w:eastAsia="黑体" w:cs="黑体"/>
        </w:rPr>
        <w:t>三、选聘范围</w:t>
      </w:r>
    </w:p>
    <w:p>
      <w:pPr>
        <w:spacing w:line="600" w:lineRule="exact"/>
        <w:ind w:firstLine="720" w:firstLineChars="225"/>
        <w:rPr>
          <w:rFonts w:hAnsi="仿宋_GB2312" w:cs="仿宋_GB2312"/>
          <w:bCs/>
        </w:rPr>
      </w:pPr>
      <w:r>
        <w:rPr>
          <w:rFonts w:hint="eastAsia" w:hAnsi="仿宋_GB2312" w:cs="仿宋_GB2312"/>
          <w:bCs/>
        </w:rPr>
        <w:t>采取市场化方式，面向社会公开选聘。</w:t>
      </w:r>
    </w:p>
    <w:p>
      <w:pPr>
        <w:spacing w:line="600" w:lineRule="exact"/>
        <w:ind w:firstLine="720" w:firstLineChars="225"/>
        <w:rPr>
          <w:rFonts w:ascii="黑体" w:hAnsi="黑体" w:eastAsia="黑体" w:cs="黑体"/>
        </w:rPr>
      </w:pPr>
      <w:r>
        <w:rPr>
          <w:rFonts w:hint="eastAsia" w:ascii="黑体" w:hAnsi="黑体" w:eastAsia="黑体" w:cs="黑体"/>
        </w:rPr>
        <w:t>四、选聘条件</w:t>
      </w:r>
    </w:p>
    <w:p>
      <w:pPr>
        <w:widowControl/>
        <w:spacing w:line="600" w:lineRule="exact"/>
        <w:ind w:firstLine="640" w:firstLineChars="200"/>
        <w:rPr>
          <w:rFonts w:ascii="楷体_GB2312" w:hAnsi="楷体" w:eastAsia="楷体_GB2312" w:cs="楷体"/>
        </w:rPr>
      </w:pPr>
      <w:r>
        <w:rPr>
          <w:rFonts w:hint="eastAsia" w:ascii="楷体_GB2312" w:hAnsi="楷体" w:eastAsia="楷体_GB2312" w:cs="楷体"/>
        </w:rPr>
        <w:t>（一）基本条件</w:t>
      </w:r>
    </w:p>
    <w:p>
      <w:pPr>
        <w:spacing w:line="600" w:lineRule="exact"/>
        <w:ind w:firstLine="640" w:firstLineChars="200"/>
      </w:pPr>
      <w:r>
        <w:rPr>
          <w:rFonts w:hint="eastAsia"/>
        </w:rPr>
        <w:t>1.具有较高的思想政治素质，事业心、责任感强。遵规守法，自觉维护企业及股东的利益。清正廉洁、诚实守信，有良好的职业信誉和诚信记录。</w:t>
      </w:r>
    </w:p>
    <w:p>
      <w:pPr>
        <w:spacing w:line="600" w:lineRule="exact"/>
        <w:ind w:firstLine="640" w:firstLineChars="200"/>
      </w:pPr>
      <w:r>
        <w:rPr>
          <w:rFonts w:hint="eastAsia"/>
        </w:rPr>
        <w:t>2.具有良好的心理素质和正常履行职责的身体素质。</w:t>
      </w:r>
    </w:p>
    <w:p>
      <w:pPr>
        <w:spacing w:line="600" w:lineRule="exact"/>
        <w:ind w:firstLine="640" w:firstLineChars="200"/>
      </w:pPr>
      <w:r>
        <w:rPr>
          <w:rFonts w:hint="eastAsia"/>
        </w:rPr>
        <w:t>3.符合《公司法》《企业国有资产法》规定的相关条件，符合任职回避的有关规定。</w:t>
      </w:r>
    </w:p>
    <w:p>
      <w:pPr>
        <w:widowControl/>
        <w:spacing w:line="600" w:lineRule="exact"/>
        <w:ind w:firstLine="640" w:firstLineChars="200"/>
        <w:rPr>
          <w:rFonts w:ascii="楷体_GB2312" w:hAnsi="楷体" w:eastAsia="楷体_GB2312" w:cs="楷体"/>
        </w:rPr>
      </w:pPr>
      <w:r>
        <w:rPr>
          <w:rFonts w:hint="eastAsia" w:ascii="楷体_GB2312" w:hAnsi="楷体" w:eastAsia="楷体_GB2312" w:cs="楷体"/>
        </w:rPr>
        <w:t>（二）资格条件</w:t>
      </w:r>
    </w:p>
    <w:p>
      <w:pPr>
        <w:spacing w:line="600" w:lineRule="exact"/>
        <w:ind w:firstLine="720" w:firstLineChars="225"/>
        <w:rPr>
          <w:rFonts w:hAnsi="仿宋_GB2312" w:cs="仿宋_GB2312"/>
        </w:rPr>
      </w:pPr>
      <w:r>
        <w:rPr>
          <w:rFonts w:hint="eastAsia"/>
        </w:rPr>
        <w:t>1</w:t>
      </w:r>
      <w:r>
        <w:rPr>
          <w:rFonts w:hint="eastAsia"/>
          <w:lang w:val="en-US" w:eastAsia="zh-CN"/>
        </w:rPr>
        <w:t>.</w:t>
      </w:r>
      <w:r>
        <w:rPr>
          <w:rFonts w:hint="eastAsia"/>
        </w:rPr>
        <w:t>具有国家承认的大学本科及以上学历或取得副高级以上相关技术职称。</w:t>
      </w:r>
      <w:r>
        <w:rPr>
          <w:rFonts w:hint="eastAsia" w:hAnsi="仿宋_GB2312" w:cs="仿宋_GB2312"/>
        </w:rPr>
        <w:t>年龄在45岁（1974年1月1日以后出生）以下，特别优秀的年龄可适当放宽。</w:t>
      </w:r>
    </w:p>
    <w:p>
      <w:pPr>
        <w:spacing w:line="600" w:lineRule="exact"/>
        <w:ind w:firstLine="640" w:firstLineChars="200"/>
      </w:pPr>
      <w:r>
        <w:rPr>
          <w:rFonts w:hint="eastAsia"/>
        </w:rPr>
        <w:t>2</w:t>
      </w:r>
      <w:r>
        <w:rPr>
          <w:rFonts w:hint="eastAsia"/>
          <w:lang w:val="en-US" w:eastAsia="zh-CN"/>
        </w:rPr>
        <w:t>.</w:t>
      </w:r>
      <w:r>
        <w:rPr>
          <w:rFonts w:hint="eastAsia"/>
        </w:rPr>
        <w:t>具有8年及以上公路相关专业的工作经历。</w:t>
      </w:r>
      <w:r>
        <w:rPr>
          <w:rFonts w:hint="eastAsia" w:hAnsi="仿宋_GB2312" w:cs="仿宋_GB2312"/>
        </w:rPr>
        <w:t>熟悉公路工程质量检测、高速公路养护、公路监理等工作，了解相关法律法规及行业规范政策，具备较好的专业能力。参加过相关资质及资质认定复评审工作</w:t>
      </w:r>
      <w:r>
        <w:rPr>
          <w:rFonts w:hint="eastAsia"/>
        </w:rPr>
        <w:t>，主持、承担或参加过省部级工法、课题、科研项目及发明专利、新型实用专利的优先考虑。</w:t>
      </w:r>
    </w:p>
    <w:p>
      <w:pPr>
        <w:spacing w:line="600" w:lineRule="exact"/>
        <w:ind w:firstLine="720" w:firstLineChars="225"/>
        <w:rPr>
          <w:u w:val="single"/>
        </w:rPr>
      </w:pPr>
      <w:r>
        <w:rPr>
          <w:rFonts w:hint="eastAsia"/>
        </w:rPr>
        <w:t>3</w:t>
      </w:r>
      <w:r>
        <w:rPr>
          <w:rFonts w:hint="eastAsia"/>
          <w:lang w:val="en-US" w:eastAsia="zh-CN"/>
        </w:rPr>
        <w:t>.</w:t>
      </w:r>
      <w:r>
        <w:rPr>
          <w:rFonts w:hint="eastAsia"/>
        </w:rPr>
        <w:t>工作经历及任职年限。具有6年以上技术管理工作经验，且具有同层级或同规模企业同职级有关岗位任职经历或者在下一层级岗位上任职3年以上经历。党政机关报考人员应为副处级，或任正科级3年以上，或正科级、副科级岗位工作累计满5年以上。</w:t>
      </w:r>
    </w:p>
    <w:p>
      <w:pPr>
        <w:spacing w:line="600" w:lineRule="exact"/>
        <w:ind w:firstLine="640" w:firstLineChars="200"/>
      </w:pPr>
      <w:r>
        <w:rPr>
          <w:rFonts w:hint="eastAsia"/>
        </w:rPr>
        <w:t>以上专业及从业经历由选聘工作领导小组研究认定。</w:t>
      </w:r>
    </w:p>
    <w:p>
      <w:pPr>
        <w:widowControl/>
        <w:spacing w:line="600" w:lineRule="exact"/>
        <w:ind w:firstLine="640" w:firstLineChars="200"/>
        <w:jc w:val="left"/>
      </w:pPr>
      <w:r>
        <w:rPr>
          <w:rFonts w:hint="eastAsia"/>
        </w:rPr>
        <w:t>4</w:t>
      </w:r>
      <w:r>
        <w:rPr>
          <w:rFonts w:hint="eastAsia"/>
          <w:lang w:val="en-US" w:eastAsia="zh-CN"/>
        </w:rPr>
        <w:t>.</w:t>
      </w:r>
      <w:bookmarkStart w:id="0" w:name="_GoBack"/>
      <w:bookmarkEnd w:id="0"/>
      <w:r>
        <w:t>有下列情形之一的，不受理报名：</w:t>
      </w:r>
    </w:p>
    <w:p>
      <w:pPr>
        <w:widowControl/>
        <w:spacing w:line="600" w:lineRule="exact"/>
        <w:ind w:firstLine="640" w:firstLineChars="200"/>
        <w:jc w:val="left"/>
      </w:pPr>
      <w:r>
        <w:rPr>
          <w:rFonts w:hint="eastAsia"/>
        </w:rPr>
        <w:t>（1）</w:t>
      </w:r>
      <w:r>
        <w:t>受过司法机关刑事处罚的；受到组织处理或者党纪、政纪处分，在影响期内的；涉嫌违纪违法正在接受有关机关审查尚未作出结论的；国家法律法规、党纪政纪和有关政策另有规定不能担任企业领导人员职务的。</w:t>
      </w:r>
    </w:p>
    <w:p>
      <w:pPr>
        <w:widowControl/>
        <w:spacing w:line="600" w:lineRule="exact"/>
        <w:ind w:firstLine="640" w:firstLineChars="200"/>
        <w:jc w:val="left"/>
      </w:pPr>
      <w:r>
        <w:rPr>
          <w:rFonts w:hint="eastAsia"/>
        </w:rPr>
        <w:t>（2）</w:t>
      </w:r>
      <w:r>
        <w:t>党政机关、人民团体、事业单位报考人员近三年年度</w:t>
      </w:r>
      <w:r>
        <w:rPr>
          <w:rFonts w:hint="eastAsia"/>
        </w:rPr>
        <w:t>考核曾被</w:t>
      </w:r>
      <w:r>
        <w:t>评为基本称职（基本合格）、不称职（不合格）或不确定等次的。</w:t>
      </w:r>
    </w:p>
    <w:p>
      <w:pPr>
        <w:widowControl/>
        <w:spacing w:line="600" w:lineRule="exact"/>
        <w:ind w:firstLine="640" w:firstLineChars="200"/>
        <w:jc w:val="left"/>
      </w:pPr>
      <w:r>
        <w:rPr>
          <w:rFonts w:hint="eastAsia"/>
        </w:rPr>
        <w:t>（3）</w:t>
      </w:r>
      <w:r>
        <w:t>企业应聘人员具有《中华人民共和国公司法》第一百四十八条所列情形之一的；由于个人原因，导致企业出现严重亏损，或造成企业资产严重流失和</w:t>
      </w:r>
      <w:r>
        <w:rPr>
          <w:rFonts w:hint="eastAsia"/>
        </w:rPr>
        <w:t>重大</w:t>
      </w:r>
      <w:r>
        <w:t>经济损失的；个人在企业经营管理活动中有弄虚作假记录的</w:t>
      </w:r>
      <w:r>
        <w:rPr>
          <w:rFonts w:hint="eastAsia"/>
        </w:rPr>
        <w:t>。</w:t>
      </w:r>
    </w:p>
    <w:p>
      <w:pPr>
        <w:spacing w:line="600" w:lineRule="exact"/>
        <w:ind w:firstLine="720" w:firstLineChars="225"/>
        <w:rPr>
          <w:rFonts w:hAnsi="仿宋_GB2312" w:cs="仿宋_GB2312"/>
        </w:rPr>
      </w:pPr>
      <w:r>
        <w:rPr>
          <w:rFonts w:hint="eastAsia" w:hAnsi="仿宋_GB2312" w:cs="仿宋_GB2312"/>
        </w:rPr>
        <w:t>（4）个人有不诚信记录的。</w:t>
      </w:r>
    </w:p>
    <w:p>
      <w:pPr>
        <w:spacing w:line="600" w:lineRule="exact"/>
        <w:ind w:firstLine="720" w:firstLineChars="225"/>
        <w:rPr>
          <w:rFonts w:hAnsi="仿宋_GB2312" w:cs="仿宋_GB2312"/>
        </w:rPr>
      </w:pPr>
      <w:r>
        <w:rPr>
          <w:rFonts w:hint="eastAsia" w:hAnsi="仿宋_GB2312" w:cs="仿宋_GB2312"/>
        </w:rPr>
        <w:t>（5）其他有关情形。</w:t>
      </w:r>
    </w:p>
    <w:p>
      <w:pPr>
        <w:spacing w:line="600" w:lineRule="exact"/>
        <w:ind w:firstLine="627" w:firstLineChars="196"/>
        <w:rPr>
          <w:rFonts w:ascii="黑体" w:hAnsi="黑体" w:eastAsia="黑体" w:cs="黑体"/>
        </w:rPr>
      </w:pPr>
      <w:r>
        <w:rPr>
          <w:rFonts w:hint="eastAsia" w:ascii="黑体" w:hAnsi="黑体" w:eastAsia="黑体" w:cs="黑体"/>
        </w:rPr>
        <w:t>五、选聘程序</w:t>
      </w:r>
    </w:p>
    <w:p>
      <w:pPr>
        <w:spacing w:line="600" w:lineRule="exact"/>
        <w:ind w:firstLine="707" w:firstLineChars="221"/>
      </w:pPr>
      <w:r>
        <w:rPr>
          <w:rFonts w:hint="eastAsia" w:ascii="楷体_GB2312" w:eastAsia="楷体_GB2312"/>
        </w:rPr>
        <w:t>（一）发布选聘公告。</w:t>
      </w:r>
      <w:r>
        <w:rPr>
          <w:rFonts w:hint="eastAsia"/>
        </w:rPr>
        <w:t>通过网络媒体公开发布选聘管理人员公告，明确选聘条件、报名方式、时间等。</w:t>
      </w:r>
    </w:p>
    <w:p>
      <w:pPr>
        <w:spacing w:line="600" w:lineRule="exact"/>
        <w:ind w:firstLine="707" w:firstLineChars="221"/>
        <w:rPr>
          <w:rFonts w:ascii="楷体_GB2312" w:eastAsia="楷体_GB2312"/>
        </w:rPr>
      </w:pPr>
      <w:r>
        <w:rPr>
          <w:rFonts w:hint="eastAsia" w:ascii="楷体_GB2312" w:eastAsia="楷体_GB2312"/>
        </w:rPr>
        <w:t>（二）报名与资格审查</w:t>
      </w:r>
    </w:p>
    <w:p>
      <w:pPr>
        <w:spacing w:line="600" w:lineRule="exact"/>
        <w:ind w:firstLine="707" w:firstLineChars="221"/>
      </w:pPr>
      <w:r>
        <w:rPr>
          <w:rFonts w:hint="eastAsia"/>
        </w:rPr>
        <w:t>1.报名时间：2019年11月27日至12月8日。</w:t>
      </w:r>
    </w:p>
    <w:p>
      <w:pPr>
        <w:spacing w:line="600" w:lineRule="exact"/>
        <w:ind w:firstLine="707" w:firstLineChars="221"/>
      </w:pPr>
      <w:r>
        <w:rPr>
          <w:rFonts w:hint="eastAsia" w:ascii="楷体_GB2312" w:eastAsia="楷体_GB2312"/>
        </w:rPr>
        <w:t>2.报名方式：</w:t>
      </w:r>
      <w:r>
        <w:rPr>
          <w:rFonts w:hint="eastAsia"/>
        </w:rPr>
        <w:t>登录宁夏国资委网站</w:t>
      </w:r>
      <w:r>
        <w:t>http://gzw.nx.gov.cn</w:t>
      </w:r>
      <w:r>
        <w:rPr>
          <w:rFonts w:hint="eastAsia"/>
        </w:rPr>
        <w:t>和宁夏交通科学研究所有限公司网站</w:t>
      </w:r>
      <w:r>
        <w:t>http://www.nxjtkys.com</w:t>
      </w:r>
      <w:r>
        <w:rPr>
          <w:rFonts w:hint="eastAsia"/>
        </w:rPr>
        <w:t>，下载《报名登记表》，按填表说明将登记表及相关应聘资料以</w:t>
      </w:r>
      <w:r>
        <w:t>“</w:t>
      </w:r>
      <w:r>
        <w:rPr>
          <w:rFonts w:hint="eastAsia"/>
        </w:rPr>
        <w:t>姓名</w:t>
      </w:r>
      <w:r>
        <w:t>+</w:t>
      </w:r>
      <w:r>
        <w:rPr>
          <w:rFonts w:hint="eastAsia"/>
        </w:rPr>
        <w:t>应聘职位</w:t>
      </w:r>
      <w:r>
        <w:t>”</w:t>
      </w:r>
      <w:r>
        <w:rPr>
          <w:rFonts w:hint="eastAsia"/>
        </w:rPr>
        <w:t>为电子邮件主题，填报至指定邮箱nxjtjtdqrsb</w:t>
      </w:r>
      <w:r>
        <w:t>@163.com</w:t>
      </w:r>
      <w:r>
        <w:rPr>
          <w:rFonts w:hint="eastAsia"/>
        </w:rPr>
        <w:t>。</w:t>
      </w:r>
    </w:p>
    <w:p>
      <w:pPr>
        <w:autoSpaceDE w:val="0"/>
        <w:autoSpaceDN w:val="0"/>
        <w:adjustRightInd w:val="0"/>
        <w:spacing w:line="600" w:lineRule="exact"/>
        <w:ind w:firstLine="640"/>
        <w:jc w:val="left"/>
        <w:rPr>
          <w:rFonts w:ascii="??_GB2312" w:hAnsi="??_GB2312" w:cs="??_GB2312"/>
          <w:kern w:val="0"/>
        </w:rPr>
      </w:pPr>
      <w:r>
        <w:rPr>
          <w:rFonts w:hint="eastAsia" w:ascii="楷体_GB2312" w:eastAsia="楷体_GB2312"/>
        </w:rPr>
        <w:t>3.报名要求：</w:t>
      </w:r>
      <w:r>
        <w:rPr>
          <w:rFonts w:hint="eastAsia"/>
        </w:rPr>
        <w:t>报名者严格按《报名登记表》（附表1）要求填表并提供身份证、学历证、学位证、职称证、职（执）业资格证、近三年以来获奖证书以及任职（聘职）文件等相关证明扫描件，填表信息不全、标注不清、资料提交不完整的，视为无效报名。</w:t>
      </w:r>
    </w:p>
    <w:p>
      <w:pPr>
        <w:spacing w:line="600" w:lineRule="exact"/>
        <w:ind w:firstLine="707" w:firstLineChars="221"/>
      </w:pPr>
      <w:r>
        <w:rPr>
          <w:rFonts w:hint="eastAsia" w:ascii="楷体_GB2312" w:eastAsia="楷体_GB2312"/>
        </w:rPr>
        <w:t>4.资格审查：</w:t>
      </w:r>
      <w:r>
        <w:rPr>
          <w:rFonts w:hint="eastAsia"/>
        </w:rPr>
        <w:t>选聘领导小组办公室根据职位资格条件，对报名者进行资格审查。主要查验身份证、学历证、学位证、职称证、职（执）业资格证、近三年以来获奖证书以及任职（聘职）文件等相关证明原件和复印件，原件审核后退回。选聘职位与资格审查合格人数的比例一般不低于1:4，无法形成有效竞争的，经选聘工作领导小组研究可取消选聘。</w:t>
      </w:r>
    </w:p>
    <w:p>
      <w:pPr>
        <w:spacing w:line="600" w:lineRule="exact"/>
        <w:ind w:firstLine="707" w:firstLineChars="221"/>
      </w:pPr>
      <w:r>
        <w:rPr>
          <w:rFonts w:hint="eastAsia"/>
        </w:rPr>
        <w:t>资格审查时间、地点另行通知。</w:t>
      </w:r>
    </w:p>
    <w:p>
      <w:pPr>
        <w:spacing w:line="600" w:lineRule="exact"/>
        <w:ind w:firstLine="707" w:firstLineChars="221"/>
      </w:pPr>
      <w:r>
        <w:rPr>
          <w:rFonts w:hint="eastAsia" w:ascii="楷体_GB2312" w:eastAsia="楷体_GB2312"/>
        </w:rPr>
        <w:t>（三）经历业绩量化。</w:t>
      </w:r>
      <w:r>
        <w:rPr>
          <w:rFonts w:hint="eastAsia"/>
        </w:rPr>
        <w:t>选聘工作领导小组办公室对资格审查合格者进行经历业绩量化（附表2），</w:t>
      </w:r>
      <w:r>
        <w:rPr>
          <w:rFonts w:hint="eastAsia" w:hAnsi="仿宋_GB2312" w:cs="仿宋_GB2312"/>
        </w:rPr>
        <w:t>根据经历</w:t>
      </w:r>
      <w:r>
        <w:rPr>
          <w:rFonts w:hint="eastAsia"/>
        </w:rPr>
        <w:t>业绩量化成绩由高到低，按不低于1:3的比例确定面试人员。</w:t>
      </w:r>
    </w:p>
    <w:p>
      <w:pPr>
        <w:spacing w:line="600" w:lineRule="exact"/>
        <w:ind w:firstLine="707" w:firstLineChars="221"/>
      </w:pPr>
      <w:r>
        <w:rPr>
          <w:rFonts w:hint="eastAsia"/>
        </w:rPr>
        <w:t>经历业绩量化成绩及拟列入面试的人选名单将在公司网站予以公布。</w:t>
      </w:r>
    </w:p>
    <w:p>
      <w:pPr>
        <w:spacing w:line="600" w:lineRule="exact"/>
        <w:ind w:firstLine="707" w:firstLineChars="221"/>
      </w:pPr>
      <w:r>
        <w:rPr>
          <w:rFonts w:hint="eastAsia" w:ascii="楷体_GB2312" w:eastAsia="楷体_GB2312"/>
        </w:rPr>
        <w:t>（四）组织面试。</w:t>
      </w:r>
      <w:r>
        <w:t>原则上采用结构化方式面试，主要测试</w:t>
      </w:r>
      <w:r>
        <w:rPr>
          <w:rFonts w:hint="eastAsia"/>
        </w:rPr>
        <w:t>应聘者</w:t>
      </w:r>
      <w:r>
        <w:t>的</w:t>
      </w:r>
      <w:r>
        <w:rPr>
          <w:rFonts w:hint="eastAsia"/>
        </w:rPr>
        <w:t>综合</w:t>
      </w:r>
      <w:r>
        <w:t>素质和职位专业能力</w:t>
      </w:r>
      <w:r>
        <w:rPr>
          <w:rFonts w:hint="eastAsia"/>
        </w:rPr>
        <w:t>、</w:t>
      </w:r>
      <w:r>
        <w:t>逻辑思维能力、语言表达能力、综合分析能力</w:t>
      </w:r>
      <w:r>
        <w:rPr>
          <w:rFonts w:hint="eastAsia"/>
        </w:rPr>
        <w:t>、</w:t>
      </w:r>
      <w:r>
        <w:t>应变能力</w:t>
      </w:r>
      <w:r>
        <w:rPr>
          <w:rFonts w:hint="eastAsia"/>
        </w:rPr>
        <w:t>以及</w:t>
      </w:r>
      <w:r>
        <w:t>心理素质等。</w:t>
      </w:r>
    </w:p>
    <w:p>
      <w:pPr>
        <w:spacing w:line="600" w:lineRule="exact"/>
        <w:ind w:firstLine="707" w:firstLineChars="221"/>
      </w:pPr>
      <w:r>
        <w:rPr>
          <w:rFonts w:hint="eastAsia"/>
        </w:rPr>
        <w:t>面试时间和地点以公告或电话、短信、邮件通知为准。</w:t>
      </w:r>
    </w:p>
    <w:p>
      <w:pPr>
        <w:spacing w:line="600" w:lineRule="exact"/>
        <w:ind w:firstLine="707" w:firstLineChars="221"/>
      </w:pPr>
      <w:r>
        <w:rPr>
          <w:rFonts w:hint="eastAsia" w:ascii="楷体_GB2312" w:eastAsia="楷体_GB2312"/>
        </w:rPr>
        <w:t>（五）岗位适应性评价。</w:t>
      </w:r>
      <w:r>
        <w:rPr>
          <w:rFonts w:hint="eastAsia"/>
        </w:rPr>
        <w:t>由选聘工作领导小组成员对应聘者进行岗位适应性评价（附表3）。主要围绕应聘者学历、专业、工作经历、任职经历、相关工作经历、工作实绩、领导素质能力等，对照岗位职责等要求进行分析，对应聘者的基本素质、领导能力、工作实绩、潜质进行评价打分。</w:t>
      </w:r>
    </w:p>
    <w:p>
      <w:pPr>
        <w:spacing w:line="600" w:lineRule="exact"/>
        <w:ind w:firstLine="707" w:firstLineChars="221"/>
      </w:pPr>
      <w:r>
        <w:rPr>
          <w:rFonts w:hint="eastAsia" w:hAnsi="仿宋_GB2312" w:cs="仿宋_GB2312"/>
        </w:rPr>
        <w:t>总成绩＝经历业绩量化成绩×30%+面试成绩×50%＋岗位适应性评价×20%。</w:t>
      </w:r>
    </w:p>
    <w:p>
      <w:pPr>
        <w:spacing w:line="600" w:lineRule="exact"/>
        <w:ind w:firstLine="707" w:firstLineChars="221"/>
      </w:pPr>
      <w:r>
        <w:rPr>
          <w:rFonts w:hint="eastAsia" w:ascii="楷体_GB2312" w:eastAsia="楷体_GB2312"/>
        </w:rPr>
        <w:t>（六）确定考察对象。</w:t>
      </w:r>
      <w:r>
        <w:rPr>
          <w:rFonts w:hint="eastAsia"/>
        </w:rPr>
        <w:t>以工作需要和干部德才条件为依据，选聘工作领导小组根据应聘者的综合成绩排名、人岗相适等因素，按不低于1:2比例确定考察对象。</w:t>
      </w:r>
    </w:p>
    <w:p>
      <w:pPr>
        <w:spacing w:line="600" w:lineRule="exact"/>
        <w:ind w:firstLine="707" w:firstLineChars="221"/>
      </w:pPr>
      <w:r>
        <w:rPr>
          <w:rFonts w:hint="eastAsia" w:ascii="楷体_GB2312" w:eastAsia="楷体_GB2312"/>
        </w:rPr>
        <w:t>（七）组织考察。</w:t>
      </w:r>
      <w:r>
        <w:rPr>
          <w:rFonts w:hint="eastAsia"/>
        </w:rPr>
        <w:t>由选聘工作领导小组负责组织考察。主要采用个别谈话、实地考察、查阅资料、同考察对象面谈、征求所在单位组织人事部门、纪检监察部门意见等方式对考察对象的德、能、勤、绩、廉等进行全面考察</w:t>
      </w:r>
      <w:r>
        <w:rPr>
          <w:rFonts w:hint="eastAsia" w:ascii="楷体" w:hAnsi="楷体" w:eastAsia="楷体"/>
        </w:rPr>
        <w:t>。</w:t>
      </w:r>
    </w:p>
    <w:p>
      <w:pPr>
        <w:spacing w:line="600" w:lineRule="exact"/>
        <w:ind w:firstLine="640" w:firstLineChars="200"/>
        <w:rPr>
          <w:rFonts w:hAnsi="宋体" w:cs="宋体"/>
          <w:color w:val="000000"/>
          <w:kern w:val="0"/>
        </w:rPr>
      </w:pPr>
      <w:r>
        <w:rPr>
          <w:rFonts w:hint="eastAsia" w:ascii="楷体_GB2312" w:eastAsia="楷体_GB2312"/>
        </w:rPr>
        <w:t>（八）讨论决定。</w:t>
      </w:r>
      <w:r>
        <w:rPr>
          <w:rFonts w:hint="eastAsia"/>
        </w:rPr>
        <w:t>选聘工作领导小组</w:t>
      </w:r>
      <w:r>
        <w:rPr>
          <w:rFonts w:hint="eastAsia" w:hAnsi="宋体" w:cs="宋体"/>
          <w:color w:val="000000"/>
          <w:kern w:val="0"/>
        </w:rPr>
        <w:t>根据应聘者的综合得分情况、组织考察情况，结合具体职位要求，提出拟聘人选建议名单，提交集团公司党委集体讨论作出聘用建议。经集团公司党委研究，认为无合适人选的可取消职位。</w:t>
      </w:r>
    </w:p>
    <w:p>
      <w:pPr>
        <w:spacing w:line="580" w:lineRule="exact"/>
        <w:ind w:firstLine="640" w:firstLineChars="200"/>
        <w:rPr>
          <w:rFonts w:ascii="楷体_GB2312" w:hAnsi="楷体" w:eastAsia="楷体_GB2312"/>
        </w:rPr>
      </w:pPr>
      <w:r>
        <w:rPr>
          <w:rFonts w:ascii="楷体_GB2312" w:hAnsi="楷体" w:eastAsia="楷体_GB2312"/>
        </w:rPr>
        <w:t>（</w:t>
      </w:r>
      <w:r>
        <w:rPr>
          <w:rFonts w:hint="eastAsia" w:ascii="楷体_GB2312" w:hAnsi="楷体" w:eastAsia="楷体_GB2312"/>
        </w:rPr>
        <w:t>九</w:t>
      </w:r>
      <w:r>
        <w:rPr>
          <w:rFonts w:ascii="楷体_GB2312" w:hAnsi="楷体" w:eastAsia="楷体_GB2312"/>
        </w:rPr>
        <w:t>）体检</w:t>
      </w:r>
      <w:r>
        <w:rPr>
          <w:rFonts w:hint="eastAsia" w:ascii="楷体_GB2312" w:hAnsi="楷体" w:eastAsia="楷体_GB2312"/>
        </w:rPr>
        <w:t>。</w:t>
      </w:r>
      <w:r>
        <w:t>拟录用对象确定后，通知</w:t>
      </w:r>
      <w:r>
        <w:rPr>
          <w:rFonts w:hint="eastAsia" w:hAnsi="宋体" w:cs="宋体"/>
          <w:color w:val="000000"/>
          <w:kern w:val="0"/>
        </w:rPr>
        <w:t>拟聘人选</w:t>
      </w:r>
      <w:r>
        <w:t>到指定的医院进行体检。体检按照机关事业单位招考工作人员体检通用标准进行。公司或</w:t>
      </w:r>
      <w:r>
        <w:rPr>
          <w:rFonts w:hint="eastAsia" w:hAnsi="宋体" w:cs="宋体"/>
          <w:color w:val="000000"/>
          <w:kern w:val="0"/>
        </w:rPr>
        <w:t>拟聘人选</w:t>
      </w:r>
      <w:r>
        <w:t>对体检结果有疑问的，可按有关规定提出复检。</w:t>
      </w:r>
    </w:p>
    <w:p>
      <w:pPr>
        <w:spacing w:line="580" w:lineRule="exact"/>
        <w:ind w:firstLine="640" w:firstLineChars="200"/>
        <w:rPr>
          <w:rFonts w:hAnsi="仿宋_GB2312" w:cs="仿宋_GB2312"/>
        </w:rPr>
      </w:pPr>
      <w:r>
        <w:rPr>
          <w:rFonts w:hint="eastAsia" w:ascii="楷体_GB2312" w:eastAsia="楷体_GB2312"/>
        </w:rPr>
        <w:t>（十）公示聘用。</w:t>
      </w:r>
      <w:r>
        <w:rPr>
          <w:rFonts w:hint="eastAsia" w:hAnsi="楷体"/>
        </w:rPr>
        <w:t>对体检合格并</w:t>
      </w:r>
      <w:r>
        <w:rPr>
          <w:rFonts w:hint="eastAsia"/>
        </w:rPr>
        <w:t>经研究确定的拟聘人选在公司进行聘前公示，公示结果不影响聘用的，履行相关程序后，由交通科学研究所有限公司按相关规定</w:t>
      </w:r>
      <w:r>
        <w:rPr>
          <w:rFonts w:hint="eastAsia" w:hAnsi="仿宋_GB2312" w:cs="仿宋_GB2312"/>
        </w:rPr>
        <w:t>签订《聘用合同书》、《劳动合同书》《考核目标责任书》等契约，约定聘任岗位、期限、职责权限、工作目标、薪酬待遇、责任追究及其他事项。</w:t>
      </w:r>
    </w:p>
    <w:p>
      <w:pPr>
        <w:spacing w:line="580" w:lineRule="exact"/>
        <w:ind w:firstLine="627" w:firstLineChars="196"/>
        <w:rPr>
          <w:rFonts w:ascii="黑体" w:hAnsi="黑体" w:eastAsia="黑体" w:cs="黑体"/>
        </w:rPr>
      </w:pPr>
      <w:r>
        <w:rPr>
          <w:rFonts w:hint="eastAsia" w:ascii="黑体" w:hAnsi="黑体" w:eastAsia="黑体" w:cs="黑体"/>
        </w:rPr>
        <w:t>六、薪酬待遇</w:t>
      </w:r>
    </w:p>
    <w:p>
      <w:pPr>
        <w:spacing w:line="580" w:lineRule="exact"/>
        <w:ind w:firstLine="720" w:firstLineChars="225"/>
        <w:rPr>
          <w:rFonts w:hAnsi="仿宋_GB2312" w:cs="仿宋_GB2312"/>
        </w:rPr>
      </w:pPr>
      <w:r>
        <w:rPr>
          <w:rFonts w:hint="eastAsia" w:hAnsi="仿宋_GB2312" w:cs="仿宋_GB2312"/>
        </w:rPr>
        <w:t>实行市场化薪酬,由基本薪酬和绩效薪酬构成。参照同行业市场水平确定，具体面谈。</w:t>
      </w:r>
    </w:p>
    <w:p>
      <w:pPr>
        <w:spacing w:line="580" w:lineRule="exact"/>
        <w:ind w:firstLine="627" w:firstLineChars="196"/>
        <w:rPr>
          <w:rFonts w:ascii="黑体" w:hAnsi="黑体" w:eastAsia="黑体" w:cs="黑体"/>
        </w:rPr>
      </w:pPr>
      <w:r>
        <w:rPr>
          <w:rFonts w:hint="eastAsia" w:ascii="黑体" w:hAnsi="黑体" w:eastAsia="黑体" w:cs="黑体"/>
        </w:rPr>
        <w:t>七、相关说明</w:t>
      </w:r>
    </w:p>
    <w:p>
      <w:pPr>
        <w:spacing w:line="580" w:lineRule="exact"/>
        <w:ind w:firstLine="720" w:firstLineChars="225"/>
        <w:rPr>
          <w:rFonts w:hAnsi="仿宋_GB2312" w:cs="仿宋_GB2312"/>
        </w:rPr>
      </w:pPr>
      <w:r>
        <w:rPr>
          <w:rFonts w:hint="eastAsia" w:hAnsi="仿宋_GB2312" w:cs="仿宋_GB2312"/>
        </w:rPr>
        <w:t>（一）应聘者必须如实提供个人信息及相关证书资料等，凡弄虚作假者，一经查实，一律取消应聘资格；已录用的，一律取消录用资格；已签定《劳动合同》的，解除劳动关系。</w:t>
      </w:r>
    </w:p>
    <w:p>
      <w:pPr>
        <w:spacing w:line="580" w:lineRule="exact"/>
        <w:ind w:firstLine="720" w:firstLineChars="225"/>
        <w:rPr>
          <w:rFonts w:hAnsi="仿宋_GB2312" w:cs="仿宋_GB2312"/>
        </w:rPr>
      </w:pPr>
      <w:r>
        <w:rPr>
          <w:rFonts w:hint="eastAsia" w:hAnsi="仿宋_GB2312" w:cs="仿宋_GB2312"/>
        </w:rPr>
        <w:t>（二）应聘者应确保联系方式准确无误，通信工具畅通，并及时查阅相关网站最新公告信息，逾期无法联系或未递交相关资料的，视为应聘者自动放弃应聘资格。</w:t>
      </w:r>
    </w:p>
    <w:p>
      <w:pPr>
        <w:spacing w:line="580" w:lineRule="exact"/>
        <w:ind w:firstLine="720" w:firstLineChars="225"/>
        <w:rPr>
          <w:rFonts w:hAnsi="仿宋_GB2312" w:cs="仿宋_GB2312"/>
        </w:rPr>
      </w:pPr>
      <w:r>
        <w:rPr>
          <w:rFonts w:hint="eastAsia" w:hAnsi="仿宋_GB2312" w:cs="仿宋_GB2312"/>
        </w:rPr>
        <w:t>（三）应聘者个人信息仅用于此次招聘，公司承诺对应聘者个人信息予以保密，应聘资料恕不退还。</w:t>
      </w:r>
    </w:p>
    <w:p>
      <w:pPr>
        <w:spacing w:line="580" w:lineRule="exact"/>
        <w:ind w:firstLine="720" w:firstLineChars="225"/>
        <w:rPr>
          <w:rFonts w:hAnsi="仿宋_GB2312" w:cs="仿宋_GB2312"/>
        </w:rPr>
      </w:pPr>
      <w:r>
        <w:rPr>
          <w:rFonts w:hint="eastAsia" w:hAnsi="仿宋_GB2312" w:cs="仿宋_GB2312"/>
        </w:rPr>
        <w:t>（四）招聘期间谢绝来访，如需咨询，请电话联系。</w:t>
      </w:r>
    </w:p>
    <w:p>
      <w:pPr>
        <w:spacing w:line="580" w:lineRule="exact"/>
        <w:ind w:firstLine="720" w:firstLineChars="225"/>
        <w:rPr>
          <w:rFonts w:hAnsi="仿宋_GB2312" w:cs="仿宋_GB2312"/>
        </w:rPr>
      </w:pPr>
      <w:r>
        <w:rPr>
          <w:rFonts w:hint="eastAsia" w:hAnsi="仿宋_GB2312" w:cs="仿宋_GB2312"/>
        </w:rPr>
        <w:t>联系电话：0951-6076880    0951-6076522</w:t>
      </w:r>
    </w:p>
    <w:p>
      <w:pPr>
        <w:spacing w:line="600" w:lineRule="exact"/>
        <w:ind w:firstLine="627" w:firstLineChars="196"/>
        <w:rPr>
          <w:sz w:val="28"/>
          <w:szCs w:val="28"/>
        </w:rPr>
      </w:pPr>
      <w:r>
        <w:rPr>
          <w:rFonts w:hint="eastAsia"/>
        </w:rPr>
        <w:t>附表：报名登记表</w:t>
      </w:r>
    </w:p>
    <w:p>
      <w:pPr>
        <w:spacing w:line="580" w:lineRule="exact"/>
        <w:jc w:val="center"/>
        <w:rPr>
          <w:rFonts w:eastAsia="方正小标宋简体"/>
          <w:spacing w:val="-10"/>
          <w:sz w:val="44"/>
          <w:szCs w:val="44"/>
        </w:rPr>
      </w:pPr>
      <w:r>
        <w:rPr>
          <w:rFonts w:eastAsia="方正小标宋简体"/>
          <w:spacing w:val="-10"/>
          <w:sz w:val="44"/>
          <w:szCs w:val="44"/>
        </w:rPr>
        <w:t>报名登记表</w:t>
      </w:r>
    </w:p>
    <w:p>
      <w:pPr>
        <w:spacing w:line="580" w:lineRule="exact"/>
        <w:jc w:val="center"/>
        <w:rPr>
          <w:rFonts w:eastAsia="方正小标宋简体"/>
          <w:spacing w:val="-10"/>
          <w:sz w:val="36"/>
          <w:szCs w:val="36"/>
        </w:rPr>
      </w:pPr>
    </w:p>
    <w:tbl>
      <w:tblPr>
        <w:tblStyle w:val="5"/>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02"/>
        <w:gridCol w:w="1134"/>
        <w:gridCol w:w="898"/>
        <w:gridCol w:w="367"/>
        <w:gridCol w:w="711"/>
        <w:gridCol w:w="549"/>
        <w:gridCol w:w="710"/>
        <w:gridCol w:w="550"/>
        <w:gridCol w:w="696"/>
        <w:gridCol w:w="1806"/>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Pr>
        <w:tc>
          <w:tcPr>
            <w:tcW w:w="1187" w:type="dxa"/>
            <w:vAlign w:val="center"/>
          </w:tcPr>
          <w:p>
            <w:pPr>
              <w:spacing w:line="320" w:lineRule="exact"/>
              <w:jc w:val="center"/>
              <w:rPr>
                <w:spacing w:val="-10"/>
                <w:sz w:val="24"/>
              </w:rPr>
            </w:pPr>
            <w:r>
              <w:rPr>
                <w:rFonts w:hint="eastAsia" w:hAnsi="宋体"/>
                <w:spacing w:val="-10"/>
                <w:sz w:val="24"/>
              </w:rPr>
              <w:t>姓名</w:t>
            </w:r>
          </w:p>
        </w:tc>
        <w:tc>
          <w:tcPr>
            <w:tcW w:w="1436" w:type="dxa"/>
            <w:gridSpan w:val="2"/>
            <w:vAlign w:val="center"/>
          </w:tcPr>
          <w:p>
            <w:pPr>
              <w:spacing w:line="320" w:lineRule="exact"/>
              <w:jc w:val="center"/>
              <w:rPr>
                <w:spacing w:val="-10"/>
                <w:sz w:val="24"/>
              </w:rPr>
            </w:pPr>
          </w:p>
        </w:tc>
        <w:tc>
          <w:tcPr>
            <w:tcW w:w="898" w:type="dxa"/>
            <w:vAlign w:val="center"/>
          </w:tcPr>
          <w:p>
            <w:pPr>
              <w:spacing w:line="320" w:lineRule="exact"/>
              <w:jc w:val="center"/>
              <w:rPr>
                <w:spacing w:val="-10"/>
                <w:sz w:val="24"/>
              </w:rPr>
            </w:pPr>
            <w:r>
              <w:rPr>
                <w:rFonts w:hint="eastAsia" w:hAnsi="宋体"/>
                <w:spacing w:val="-10"/>
                <w:sz w:val="24"/>
              </w:rPr>
              <w:t>性别</w:t>
            </w:r>
          </w:p>
        </w:tc>
        <w:tc>
          <w:tcPr>
            <w:tcW w:w="1078" w:type="dxa"/>
            <w:gridSpan w:val="2"/>
            <w:vAlign w:val="center"/>
          </w:tcPr>
          <w:p>
            <w:pPr>
              <w:spacing w:line="320" w:lineRule="exact"/>
              <w:jc w:val="center"/>
              <w:rPr>
                <w:spacing w:val="-10"/>
                <w:sz w:val="24"/>
              </w:rPr>
            </w:pPr>
          </w:p>
        </w:tc>
        <w:tc>
          <w:tcPr>
            <w:tcW w:w="1259" w:type="dxa"/>
            <w:gridSpan w:val="2"/>
            <w:vAlign w:val="center"/>
          </w:tcPr>
          <w:p>
            <w:pPr>
              <w:spacing w:line="320" w:lineRule="exact"/>
              <w:jc w:val="center"/>
              <w:rPr>
                <w:spacing w:val="-10"/>
                <w:sz w:val="24"/>
              </w:rPr>
            </w:pPr>
            <w:r>
              <w:rPr>
                <w:rFonts w:hint="eastAsia" w:hAnsi="宋体"/>
                <w:spacing w:val="-10"/>
                <w:sz w:val="24"/>
              </w:rPr>
              <w:t>出生年月（岁）</w:t>
            </w:r>
          </w:p>
        </w:tc>
        <w:tc>
          <w:tcPr>
            <w:tcW w:w="1246" w:type="dxa"/>
            <w:gridSpan w:val="2"/>
            <w:vAlign w:val="center"/>
          </w:tcPr>
          <w:p>
            <w:pPr>
              <w:spacing w:line="320" w:lineRule="exact"/>
              <w:jc w:val="center"/>
              <w:rPr>
                <w:spacing w:val="-10"/>
                <w:sz w:val="24"/>
              </w:rPr>
            </w:pPr>
          </w:p>
        </w:tc>
        <w:tc>
          <w:tcPr>
            <w:tcW w:w="1806" w:type="dxa"/>
            <w:vMerge w:val="restart"/>
            <w:vAlign w:val="center"/>
          </w:tcPr>
          <w:p>
            <w:pPr>
              <w:spacing w:line="320" w:lineRule="exact"/>
              <w:jc w:val="center"/>
              <w:rPr>
                <w:spacing w:val="-10"/>
                <w:sz w:val="24"/>
              </w:rPr>
            </w:pPr>
            <w:r>
              <w:rPr>
                <w:rFonts w:hint="eastAsia" w:hAnsi="宋体"/>
                <w:spacing w:val="-1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79" w:hRule="atLeast"/>
        </w:trPr>
        <w:tc>
          <w:tcPr>
            <w:tcW w:w="1187" w:type="dxa"/>
            <w:vAlign w:val="center"/>
          </w:tcPr>
          <w:p>
            <w:pPr>
              <w:spacing w:line="320" w:lineRule="exact"/>
              <w:jc w:val="center"/>
              <w:rPr>
                <w:spacing w:val="-10"/>
                <w:sz w:val="24"/>
              </w:rPr>
            </w:pPr>
            <w:r>
              <w:rPr>
                <w:rFonts w:hint="eastAsia" w:hAnsi="宋体"/>
                <w:spacing w:val="-10"/>
                <w:sz w:val="24"/>
              </w:rPr>
              <w:t>民族</w:t>
            </w:r>
          </w:p>
        </w:tc>
        <w:tc>
          <w:tcPr>
            <w:tcW w:w="1436" w:type="dxa"/>
            <w:gridSpan w:val="2"/>
            <w:vAlign w:val="center"/>
          </w:tcPr>
          <w:p>
            <w:pPr>
              <w:spacing w:line="320" w:lineRule="exact"/>
              <w:jc w:val="center"/>
              <w:rPr>
                <w:spacing w:val="-10"/>
                <w:sz w:val="24"/>
              </w:rPr>
            </w:pPr>
          </w:p>
        </w:tc>
        <w:tc>
          <w:tcPr>
            <w:tcW w:w="898" w:type="dxa"/>
            <w:vAlign w:val="center"/>
          </w:tcPr>
          <w:p>
            <w:pPr>
              <w:spacing w:line="320" w:lineRule="exact"/>
              <w:jc w:val="center"/>
              <w:rPr>
                <w:spacing w:val="-10"/>
                <w:sz w:val="24"/>
              </w:rPr>
            </w:pPr>
            <w:r>
              <w:rPr>
                <w:rFonts w:hint="eastAsia" w:hAnsi="宋体"/>
                <w:spacing w:val="-10"/>
                <w:sz w:val="24"/>
              </w:rPr>
              <w:t>籍贯</w:t>
            </w:r>
          </w:p>
        </w:tc>
        <w:tc>
          <w:tcPr>
            <w:tcW w:w="1078" w:type="dxa"/>
            <w:gridSpan w:val="2"/>
            <w:vAlign w:val="center"/>
          </w:tcPr>
          <w:p>
            <w:pPr>
              <w:spacing w:line="320" w:lineRule="exact"/>
              <w:jc w:val="center"/>
              <w:rPr>
                <w:spacing w:val="-10"/>
                <w:sz w:val="24"/>
              </w:rPr>
            </w:pPr>
          </w:p>
        </w:tc>
        <w:tc>
          <w:tcPr>
            <w:tcW w:w="1259" w:type="dxa"/>
            <w:gridSpan w:val="2"/>
            <w:vAlign w:val="center"/>
          </w:tcPr>
          <w:p>
            <w:pPr>
              <w:spacing w:line="320" w:lineRule="exact"/>
              <w:jc w:val="center"/>
              <w:rPr>
                <w:spacing w:val="-10"/>
                <w:sz w:val="24"/>
              </w:rPr>
            </w:pPr>
            <w:r>
              <w:rPr>
                <w:rFonts w:hint="eastAsia" w:hAnsi="宋体"/>
                <w:spacing w:val="-10"/>
                <w:sz w:val="24"/>
              </w:rPr>
              <w:t>居住地</w:t>
            </w:r>
          </w:p>
        </w:tc>
        <w:tc>
          <w:tcPr>
            <w:tcW w:w="1246" w:type="dxa"/>
            <w:gridSpan w:val="2"/>
            <w:vAlign w:val="center"/>
          </w:tcPr>
          <w:p>
            <w:pPr>
              <w:spacing w:line="320" w:lineRule="exact"/>
              <w:jc w:val="center"/>
              <w:rPr>
                <w:spacing w:val="-10"/>
                <w:sz w:val="24"/>
              </w:rPr>
            </w:pPr>
          </w:p>
        </w:tc>
        <w:tc>
          <w:tcPr>
            <w:tcW w:w="1806" w:type="dxa"/>
            <w:vMerge w:val="continue"/>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Pr>
        <w:tc>
          <w:tcPr>
            <w:tcW w:w="1187" w:type="dxa"/>
            <w:vAlign w:val="center"/>
          </w:tcPr>
          <w:p>
            <w:pPr>
              <w:spacing w:line="320" w:lineRule="exact"/>
              <w:jc w:val="center"/>
              <w:rPr>
                <w:spacing w:val="-10"/>
                <w:sz w:val="24"/>
              </w:rPr>
            </w:pPr>
            <w:r>
              <w:rPr>
                <w:rFonts w:hint="eastAsia" w:hAnsi="宋体"/>
                <w:spacing w:val="-10"/>
                <w:sz w:val="24"/>
              </w:rPr>
              <w:t>入党时间</w:t>
            </w:r>
          </w:p>
        </w:tc>
        <w:tc>
          <w:tcPr>
            <w:tcW w:w="1436" w:type="dxa"/>
            <w:gridSpan w:val="2"/>
            <w:vAlign w:val="center"/>
          </w:tcPr>
          <w:p>
            <w:pPr>
              <w:spacing w:line="320" w:lineRule="exact"/>
              <w:jc w:val="center"/>
              <w:rPr>
                <w:spacing w:val="-10"/>
                <w:sz w:val="24"/>
              </w:rPr>
            </w:pPr>
          </w:p>
        </w:tc>
        <w:tc>
          <w:tcPr>
            <w:tcW w:w="898" w:type="dxa"/>
            <w:vAlign w:val="center"/>
          </w:tcPr>
          <w:p>
            <w:pPr>
              <w:spacing w:line="320" w:lineRule="exact"/>
              <w:jc w:val="center"/>
              <w:rPr>
                <w:spacing w:val="-10"/>
                <w:sz w:val="24"/>
              </w:rPr>
            </w:pPr>
            <w:r>
              <w:rPr>
                <w:rFonts w:hint="eastAsia" w:hAnsi="宋体"/>
                <w:spacing w:val="-10"/>
                <w:sz w:val="24"/>
              </w:rPr>
              <w:t>参加工作时间</w:t>
            </w:r>
          </w:p>
        </w:tc>
        <w:tc>
          <w:tcPr>
            <w:tcW w:w="1078" w:type="dxa"/>
            <w:gridSpan w:val="2"/>
            <w:vAlign w:val="center"/>
          </w:tcPr>
          <w:p>
            <w:pPr>
              <w:spacing w:line="320" w:lineRule="exact"/>
              <w:jc w:val="center"/>
              <w:rPr>
                <w:spacing w:val="-10"/>
                <w:sz w:val="24"/>
              </w:rPr>
            </w:pPr>
          </w:p>
        </w:tc>
        <w:tc>
          <w:tcPr>
            <w:tcW w:w="1259" w:type="dxa"/>
            <w:gridSpan w:val="2"/>
            <w:vAlign w:val="center"/>
          </w:tcPr>
          <w:p>
            <w:pPr>
              <w:spacing w:line="320" w:lineRule="exact"/>
              <w:jc w:val="center"/>
              <w:rPr>
                <w:spacing w:val="-10"/>
                <w:sz w:val="24"/>
              </w:rPr>
            </w:pPr>
            <w:r>
              <w:rPr>
                <w:rFonts w:hint="eastAsia" w:hAnsi="宋体"/>
                <w:spacing w:val="-10"/>
                <w:sz w:val="24"/>
              </w:rPr>
              <w:t>健康状况</w:t>
            </w:r>
          </w:p>
        </w:tc>
        <w:tc>
          <w:tcPr>
            <w:tcW w:w="1246" w:type="dxa"/>
            <w:gridSpan w:val="2"/>
            <w:vAlign w:val="center"/>
          </w:tcPr>
          <w:p>
            <w:pPr>
              <w:spacing w:line="320" w:lineRule="exact"/>
              <w:jc w:val="center"/>
              <w:rPr>
                <w:spacing w:val="-10"/>
                <w:sz w:val="24"/>
              </w:rPr>
            </w:pPr>
          </w:p>
        </w:tc>
        <w:tc>
          <w:tcPr>
            <w:tcW w:w="1806" w:type="dxa"/>
            <w:vMerge w:val="continue"/>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Pr>
        <w:tc>
          <w:tcPr>
            <w:tcW w:w="2623" w:type="dxa"/>
            <w:gridSpan w:val="3"/>
            <w:vAlign w:val="center"/>
          </w:tcPr>
          <w:p>
            <w:pPr>
              <w:spacing w:line="320" w:lineRule="exact"/>
              <w:jc w:val="center"/>
              <w:rPr>
                <w:spacing w:val="-10"/>
                <w:sz w:val="24"/>
              </w:rPr>
            </w:pPr>
            <w:r>
              <w:rPr>
                <w:rFonts w:hint="eastAsia" w:hAnsi="宋体"/>
                <w:spacing w:val="-10"/>
                <w:sz w:val="24"/>
              </w:rPr>
              <w:t>专业技术职务</w:t>
            </w:r>
          </w:p>
        </w:tc>
        <w:tc>
          <w:tcPr>
            <w:tcW w:w="1976" w:type="dxa"/>
            <w:gridSpan w:val="3"/>
            <w:vAlign w:val="center"/>
          </w:tcPr>
          <w:p>
            <w:pPr>
              <w:spacing w:line="320" w:lineRule="exact"/>
              <w:jc w:val="center"/>
              <w:rPr>
                <w:spacing w:val="-10"/>
                <w:sz w:val="24"/>
              </w:rPr>
            </w:pPr>
          </w:p>
        </w:tc>
        <w:tc>
          <w:tcPr>
            <w:tcW w:w="1259" w:type="dxa"/>
            <w:gridSpan w:val="2"/>
            <w:vAlign w:val="center"/>
          </w:tcPr>
          <w:p>
            <w:pPr>
              <w:spacing w:line="320" w:lineRule="exact"/>
              <w:jc w:val="center"/>
              <w:rPr>
                <w:spacing w:val="-10"/>
                <w:sz w:val="24"/>
              </w:rPr>
            </w:pPr>
            <w:r>
              <w:rPr>
                <w:rFonts w:hint="eastAsia" w:hAnsi="宋体"/>
                <w:spacing w:val="-10"/>
                <w:sz w:val="24"/>
              </w:rPr>
              <w:t>熟悉专业及特长</w:t>
            </w:r>
          </w:p>
        </w:tc>
        <w:tc>
          <w:tcPr>
            <w:tcW w:w="1246" w:type="dxa"/>
            <w:gridSpan w:val="2"/>
            <w:vAlign w:val="center"/>
          </w:tcPr>
          <w:p>
            <w:pPr>
              <w:spacing w:line="320" w:lineRule="exact"/>
              <w:jc w:val="center"/>
              <w:rPr>
                <w:spacing w:val="-10"/>
                <w:sz w:val="24"/>
              </w:rPr>
            </w:pPr>
          </w:p>
        </w:tc>
        <w:tc>
          <w:tcPr>
            <w:tcW w:w="1806" w:type="dxa"/>
            <w:vMerge w:val="continue"/>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705" w:hRule="atLeast"/>
        </w:trPr>
        <w:tc>
          <w:tcPr>
            <w:tcW w:w="1187" w:type="dxa"/>
            <w:vMerge w:val="restart"/>
            <w:vAlign w:val="center"/>
          </w:tcPr>
          <w:p>
            <w:pPr>
              <w:spacing w:line="320" w:lineRule="exact"/>
              <w:jc w:val="center"/>
              <w:rPr>
                <w:spacing w:val="-10"/>
                <w:sz w:val="24"/>
              </w:rPr>
            </w:pPr>
            <w:r>
              <w:rPr>
                <w:rFonts w:hint="eastAsia" w:hAnsi="宋体"/>
                <w:spacing w:val="-10"/>
                <w:sz w:val="24"/>
              </w:rPr>
              <w:t>学历学位</w:t>
            </w:r>
          </w:p>
        </w:tc>
        <w:tc>
          <w:tcPr>
            <w:tcW w:w="1436" w:type="dxa"/>
            <w:gridSpan w:val="2"/>
            <w:vAlign w:val="center"/>
          </w:tcPr>
          <w:p>
            <w:pPr>
              <w:spacing w:line="320" w:lineRule="exact"/>
              <w:jc w:val="center"/>
              <w:rPr>
                <w:spacing w:val="-10"/>
                <w:sz w:val="24"/>
              </w:rPr>
            </w:pPr>
            <w:r>
              <w:rPr>
                <w:rFonts w:hint="eastAsia" w:hAnsi="宋体"/>
                <w:spacing w:val="-10"/>
                <w:sz w:val="24"/>
              </w:rPr>
              <w:t>全日制教育</w:t>
            </w:r>
          </w:p>
        </w:tc>
        <w:tc>
          <w:tcPr>
            <w:tcW w:w="1976" w:type="dxa"/>
            <w:gridSpan w:val="3"/>
            <w:vAlign w:val="center"/>
          </w:tcPr>
          <w:p>
            <w:pPr>
              <w:spacing w:line="320" w:lineRule="exact"/>
              <w:jc w:val="center"/>
              <w:rPr>
                <w:spacing w:val="-10"/>
                <w:sz w:val="24"/>
              </w:rPr>
            </w:pPr>
          </w:p>
        </w:tc>
        <w:tc>
          <w:tcPr>
            <w:tcW w:w="1259" w:type="dxa"/>
            <w:gridSpan w:val="2"/>
            <w:vMerge w:val="restart"/>
            <w:vAlign w:val="center"/>
          </w:tcPr>
          <w:p>
            <w:pPr>
              <w:spacing w:line="320" w:lineRule="exact"/>
              <w:jc w:val="center"/>
              <w:rPr>
                <w:spacing w:val="-10"/>
                <w:sz w:val="24"/>
              </w:rPr>
            </w:pPr>
            <w:r>
              <w:rPr>
                <w:rFonts w:hint="eastAsia" w:hAnsi="宋体"/>
                <w:spacing w:val="-10"/>
                <w:sz w:val="24"/>
              </w:rPr>
              <w:t>毕业院校系及专业</w:t>
            </w:r>
          </w:p>
        </w:tc>
        <w:tc>
          <w:tcPr>
            <w:tcW w:w="3052"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10" w:hRule="atLeast"/>
        </w:trPr>
        <w:tc>
          <w:tcPr>
            <w:tcW w:w="1187" w:type="dxa"/>
            <w:vMerge w:val="continue"/>
            <w:vAlign w:val="center"/>
          </w:tcPr>
          <w:p>
            <w:pPr>
              <w:spacing w:line="320" w:lineRule="exact"/>
              <w:jc w:val="center"/>
              <w:rPr>
                <w:spacing w:val="-10"/>
                <w:sz w:val="24"/>
              </w:rPr>
            </w:pPr>
          </w:p>
        </w:tc>
        <w:tc>
          <w:tcPr>
            <w:tcW w:w="1436" w:type="dxa"/>
            <w:gridSpan w:val="2"/>
            <w:vAlign w:val="center"/>
          </w:tcPr>
          <w:p>
            <w:pPr>
              <w:spacing w:line="320" w:lineRule="exact"/>
              <w:jc w:val="center"/>
              <w:rPr>
                <w:spacing w:val="-10"/>
                <w:sz w:val="24"/>
              </w:rPr>
            </w:pPr>
            <w:r>
              <w:rPr>
                <w:rFonts w:hint="eastAsia" w:hAnsi="宋体"/>
                <w:spacing w:val="-10"/>
                <w:sz w:val="24"/>
              </w:rPr>
              <w:t>在职教育</w:t>
            </w:r>
          </w:p>
        </w:tc>
        <w:tc>
          <w:tcPr>
            <w:tcW w:w="1976" w:type="dxa"/>
            <w:gridSpan w:val="3"/>
            <w:vAlign w:val="center"/>
          </w:tcPr>
          <w:p>
            <w:pPr>
              <w:spacing w:line="320" w:lineRule="exact"/>
              <w:jc w:val="center"/>
              <w:rPr>
                <w:spacing w:val="-10"/>
                <w:sz w:val="24"/>
              </w:rPr>
            </w:pPr>
          </w:p>
        </w:tc>
        <w:tc>
          <w:tcPr>
            <w:tcW w:w="1259" w:type="dxa"/>
            <w:gridSpan w:val="2"/>
            <w:vMerge w:val="continue"/>
            <w:vAlign w:val="center"/>
          </w:tcPr>
          <w:p>
            <w:pPr>
              <w:spacing w:line="320" w:lineRule="exact"/>
              <w:jc w:val="center"/>
              <w:rPr>
                <w:spacing w:val="-10"/>
                <w:sz w:val="24"/>
              </w:rPr>
            </w:pPr>
          </w:p>
        </w:tc>
        <w:tc>
          <w:tcPr>
            <w:tcW w:w="3052"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08" w:hRule="atLeast"/>
        </w:trPr>
        <w:tc>
          <w:tcPr>
            <w:tcW w:w="2623" w:type="dxa"/>
            <w:gridSpan w:val="3"/>
            <w:vAlign w:val="center"/>
          </w:tcPr>
          <w:p>
            <w:pPr>
              <w:spacing w:line="320" w:lineRule="exact"/>
              <w:jc w:val="center"/>
              <w:rPr>
                <w:spacing w:val="-10"/>
                <w:sz w:val="24"/>
              </w:rPr>
            </w:pPr>
            <w:r>
              <w:rPr>
                <w:rFonts w:hint="eastAsia" w:hAnsi="宋体"/>
                <w:spacing w:val="-10"/>
                <w:sz w:val="24"/>
              </w:rPr>
              <w:t>现工作单位及职务</w:t>
            </w:r>
          </w:p>
        </w:tc>
        <w:tc>
          <w:tcPr>
            <w:tcW w:w="6287" w:type="dxa"/>
            <w:gridSpan w:val="8"/>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16" w:hRule="atLeast"/>
        </w:trPr>
        <w:tc>
          <w:tcPr>
            <w:tcW w:w="2623" w:type="dxa"/>
            <w:gridSpan w:val="3"/>
            <w:vAlign w:val="center"/>
          </w:tcPr>
          <w:p>
            <w:pPr>
              <w:spacing w:line="320" w:lineRule="exact"/>
              <w:jc w:val="center"/>
              <w:rPr>
                <w:spacing w:val="-10"/>
                <w:sz w:val="24"/>
              </w:rPr>
            </w:pPr>
            <w:r>
              <w:rPr>
                <w:rFonts w:hint="eastAsia" w:hAnsi="宋体"/>
                <w:spacing w:val="-10"/>
                <w:sz w:val="24"/>
              </w:rPr>
              <w:t>应聘职位</w:t>
            </w:r>
          </w:p>
        </w:tc>
        <w:tc>
          <w:tcPr>
            <w:tcW w:w="6287" w:type="dxa"/>
            <w:gridSpan w:val="8"/>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10" w:hRule="atLeast"/>
        </w:trPr>
        <w:tc>
          <w:tcPr>
            <w:tcW w:w="1187" w:type="dxa"/>
            <w:vAlign w:val="center"/>
          </w:tcPr>
          <w:p>
            <w:pPr>
              <w:spacing w:line="320" w:lineRule="exact"/>
              <w:jc w:val="center"/>
              <w:rPr>
                <w:spacing w:val="-10"/>
                <w:sz w:val="24"/>
              </w:rPr>
            </w:pPr>
            <w:r>
              <w:rPr>
                <w:rFonts w:hint="eastAsia" w:hAnsi="宋体"/>
                <w:spacing w:val="-10"/>
                <w:sz w:val="24"/>
              </w:rPr>
              <w:t>通讯地址</w:t>
            </w:r>
          </w:p>
        </w:tc>
        <w:tc>
          <w:tcPr>
            <w:tcW w:w="3412" w:type="dxa"/>
            <w:gridSpan w:val="5"/>
            <w:vAlign w:val="center"/>
          </w:tcPr>
          <w:p>
            <w:pPr>
              <w:spacing w:line="320" w:lineRule="exact"/>
              <w:jc w:val="center"/>
              <w:rPr>
                <w:spacing w:val="-10"/>
                <w:sz w:val="24"/>
              </w:rPr>
            </w:pPr>
          </w:p>
        </w:tc>
        <w:tc>
          <w:tcPr>
            <w:tcW w:w="1259" w:type="dxa"/>
            <w:gridSpan w:val="2"/>
            <w:vAlign w:val="center"/>
          </w:tcPr>
          <w:p>
            <w:pPr>
              <w:spacing w:line="320" w:lineRule="exact"/>
              <w:jc w:val="center"/>
              <w:rPr>
                <w:spacing w:val="-10"/>
                <w:sz w:val="24"/>
              </w:rPr>
            </w:pPr>
            <w:r>
              <w:rPr>
                <w:rFonts w:hint="eastAsia" w:hAnsi="宋体"/>
                <w:spacing w:val="-10"/>
                <w:sz w:val="24"/>
              </w:rPr>
              <w:t>联系电话</w:t>
            </w:r>
          </w:p>
        </w:tc>
        <w:tc>
          <w:tcPr>
            <w:tcW w:w="3052"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76" w:hRule="atLeast"/>
        </w:trPr>
        <w:tc>
          <w:tcPr>
            <w:tcW w:w="1187" w:type="dxa"/>
            <w:vAlign w:val="center"/>
          </w:tcPr>
          <w:p>
            <w:pPr>
              <w:spacing w:line="320" w:lineRule="exact"/>
              <w:jc w:val="center"/>
              <w:rPr>
                <w:rFonts w:hAnsi="宋体"/>
                <w:spacing w:val="-10"/>
                <w:sz w:val="24"/>
              </w:rPr>
            </w:pPr>
            <w:r>
              <w:rPr>
                <w:rFonts w:hint="eastAsia" w:hAnsi="宋体"/>
                <w:spacing w:val="-10"/>
                <w:sz w:val="24"/>
              </w:rPr>
              <w:t>工</w:t>
            </w:r>
          </w:p>
          <w:p>
            <w:pPr>
              <w:spacing w:line="320" w:lineRule="exact"/>
              <w:jc w:val="center"/>
              <w:rPr>
                <w:rFonts w:hAnsi="宋体"/>
                <w:spacing w:val="-10"/>
                <w:sz w:val="24"/>
              </w:rPr>
            </w:pPr>
          </w:p>
          <w:p>
            <w:pPr>
              <w:spacing w:line="320" w:lineRule="exact"/>
              <w:jc w:val="center"/>
              <w:rPr>
                <w:rFonts w:hAnsi="宋体"/>
                <w:spacing w:val="-10"/>
                <w:sz w:val="24"/>
              </w:rPr>
            </w:pPr>
            <w:r>
              <w:rPr>
                <w:rFonts w:hint="eastAsia" w:hAnsi="宋体"/>
                <w:spacing w:val="-10"/>
                <w:sz w:val="24"/>
              </w:rPr>
              <w:t>作</w:t>
            </w:r>
          </w:p>
          <w:p>
            <w:pPr>
              <w:spacing w:line="320" w:lineRule="exact"/>
              <w:jc w:val="center"/>
              <w:rPr>
                <w:rFonts w:hAnsi="宋体"/>
                <w:spacing w:val="-10"/>
                <w:sz w:val="24"/>
              </w:rPr>
            </w:pPr>
          </w:p>
          <w:p>
            <w:pPr>
              <w:spacing w:line="320" w:lineRule="exact"/>
              <w:jc w:val="center"/>
              <w:rPr>
                <w:spacing w:val="-10"/>
                <w:sz w:val="24"/>
              </w:rPr>
            </w:pPr>
            <w:r>
              <w:rPr>
                <w:rFonts w:hint="eastAsia" w:hAnsi="宋体"/>
                <w:spacing w:val="-10"/>
                <w:sz w:val="24"/>
              </w:rPr>
              <w:t>简</w:t>
            </w:r>
          </w:p>
          <w:p>
            <w:pPr>
              <w:spacing w:line="320" w:lineRule="exact"/>
              <w:jc w:val="center"/>
              <w:rPr>
                <w:spacing w:val="-10"/>
                <w:sz w:val="24"/>
              </w:rPr>
            </w:pPr>
            <w:r>
              <w:rPr>
                <w:rFonts w:hint="eastAsia" w:hAnsi="宋体"/>
                <w:spacing w:val="-10"/>
                <w:sz w:val="24"/>
              </w:rPr>
              <w:t>历</w:t>
            </w:r>
          </w:p>
        </w:tc>
        <w:tc>
          <w:tcPr>
            <w:tcW w:w="7723" w:type="dxa"/>
            <w:gridSpan w:val="10"/>
            <w:vAlign w:val="center"/>
          </w:tcPr>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p>
            <w:pPr>
              <w:spacing w:line="320" w:lineRule="exact"/>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489" w:type="dxa"/>
            <w:gridSpan w:val="2"/>
            <w:vAlign w:val="center"/>
          </w:tcPr>
          <w:p>
            <w:pPr>
              <w:spacing w:line="320" w:lineRule="exact"/>
              <w:jc w:val="center"/>
              <w:rPr>
                <w:spacing w:val="-10"/>
                <w:sz w:val="24"/>
              </w:rPr>
            </w:pPr>
            <w:r>
              <w:rPr>
                <w:rFonts w:hint="eastAsia" w:hAnsi="宋体"/>
                <w:spacing w:val="-10"/>
                <w:sz w:val="24"/>
              </w:rPr>
              <w:t>奖惩情况</w:t>
            </w:r>
          </w:p>
        </w:tc>
        <w:tc>
          <w:tcPr>
            <w:tcW w:w="7443" w:type="dxa"/>
            <w:gridSpan w:val="10"/>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489" w:type="dxa"/>
            <w:gridSpan w:val="2"/>
            <w:vAlign w:val="center"/>
          </w:tcPr>
          <w:p>
            <w:pPr>
              <w:spacing w:line="320" w:lineRule="exact"/>
              <w:jc w:val="center"/>
              <w:rPr>
                <w:spacing w:val="-10"/>
                <w:sz w:val="24"/>
              </w:rPr>
            </w:pPr>
            <w:r>
              <w:rPr>
                <w:rFonts w:hint="eastAsia" w:hAnsi="宋体"/>
                <w:spacing w:val="-10"/>
                <w:sz w:val="24"/>
              </w:rPr>
              <w:t>近三年年度考核情况</w:t>
            </w:r>
          </w:p>
        </w:tc>
        <w:tc>
          <w:tcPr>
            <w:tcW w:w="7443" w:type="dxa"/>
            <w:gridSpan w:val="10"/>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trPr>
        <w:tc>
          <w:tcPr>
            <w:tcW w:w="1489" w:type="dxa"/>
            <w:gridSpan w:val="2"/>
            <w:vAlign w:val="center"/>
          </w:tcPr>
          <w:p>
            <w:pPr>
              <w:spacing w:line="320" w:lineRule="exact"/>
              <w:jc w:val="center"/>
              <w:rPr>
                <w:rFonts w:hAnsi="宋体"/>
                <w:spacing w:val="-10"/>
                <w:sz w:val="24"/>
              </w:rPr>
            </w:pPr>
            <w:r>
              <w:rPr>
                <w:rFonts w:hint="eastAsia" w:hAnsi="宋体"/>
                <w:spacing w:val="-10"/>
                <w:sz w:val="24"/>
              </w:rPr>
              <w:t>主要工作</w:t>
            </w:r>
          </w:p>
          <w:p>
            <w:pPr>
              <w:spacing w:line="320" w:lineRule="exact"/>
              <w:jc w:val="center"/>
              <w:rPr>
                <w:rFonts w:hAnsi="宋体"/>
                <w:spacing w:val="-10"/>
                <w:sz w:val="24"/>
              </w:rPr>
            </w:pPr>
            <w:r>
              <w:rPr>
                <w:rFonts w:hint="eastAsia" w:hAnsi="宋体"/>
                <w:spacing w:val="-10"/>
                <w:sz w:val="24"/>
              </w:rPr>
              <w:t>业绩</w:t>
            </w:r>
          </w:p>
        </w:tc>
        <w:tc>
          <w:tcPr>
            <w:tcW w:w="7443" w:type="dxa"/>
            <w:gridSpan w:val="10"/>
            <w:vAlign w:val="center"/>
          </w:tcPr>
          <w:p>
            <w:pPr>
              <w:spacing w:line="320" w:lineRule="exact"/>
              <w:jc w:val="center"/>
              <w:rPr>
                <w:spacing w:val="-10"/>
                <w:sz w:val="24"/>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rPr>
            </w:pPr>
          </w:p>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restart"/>
            <w:vAlign w:val="center"/>
          </w:tcPr>
          <w:p>
            <w:pPr>
              <w:spacing w:line="320" w:lineRule="exact"/>
              <w:jc w:val="center"/>
              <w:rPr>
                <w:spacing w:val="-10"/>
                <w:sz w:val="24"/>
              </w:rPr>
            </w:pPr>
            <w:r>
              <w:rPr>
                <w:rFonts w:hint="eastAsia" w:hAnsi="宋体"/>
                <w:spacing w:val="-10"/>
                <w:sz w:val="24"/>
              </w:rPr>
              <w:t>家庭主要成员及重要社会关系</w:t>
            </w:r>
          </w:p>
        </w:tc>
        <w:tc>
          <w:tcPr>
            <w:tcW w:w="1134" w:type="dxa"/>
            <w:vAlign w:val="center"/>
          </w:tcPr>
          <w:p>
            <w:pPr>
              <w:spacing w:line="320" w:lineRule="exact"/>
              <w:jc w:val="center"/>
              <w:rPr>
                <w:spacing w:val="-10"/>
                <w:sz w:val="24"/>
              </w:rPr>
            </w:pPr>
            <w:r>
              <w:rPr>
                <w:rFonts w:hint="eastAsia" w:hAnsi="宋体"/>
                <w:spacing w:val="-10"/>
                <w:sz w:val="24"/>
              </w:rPr>
              <w:t>称谓</w:t>
            </w:r>
          </w:p>
        </w:tc>
        <w:tc>
          <w:tcPr>
            <w:tcW w:w="1265" w:type="dxa"/>
            <w:gridSpan w:val="2"/>
            <w:vAlign w:val="center"/>
          </w:tcPr>
          <w:p>
            <w:pPr>
              <w:spacing w:line="320" w:lineRule="exact"/>
              <w:jc w:val="center"/>
              <w:rPr>
                <w:spacing w:val="-10"/>
                <w:sz w:val="24"/>
              </w:rPr>
            </w:pPr>
            <w:r>
              <w:rPr>
                <w:rFonts w:hint="eastAsia" w:hAnsi="宋体"/>
                <w:spacing w:val="-10"/>
                <w:sz w:val="24"/>
              </w:rPr>
              <w:t>姓名</w:t>
            </w:r>
          </w:p>
        </w:tc>
        <w:tc>
          <w:tcPr>
            <w:tcW w:w="1260" w:type="dxa"/>
            <w:gridSpan w:val="2"/>
            <w:vAlign w:val="center"/>
          </w:tcPr>
          <w:p>
            <w:pPr>
              <w:spacing w:line="320" w:lineRule="exact"/>
              <w:jc w:val="center"/>
              <w:rPr>
                <w:spacing w:val="-10"/>
                <w:sz w:val="24"/>
              </w:rPr>
            </w:pPr>
            <w:r>
              <w:rPr>
                <w:rFonts w:hint="eastAsia" w:hAnsi="宋体"/>
                <w:spacing w:val="-10"/>
                <w:sz w:val="24"/>
              </w:rPr>
              <w:t>年龄</w:t>
            </w:r>
          </w:p>
        </w:tc>
        <w:tc>
          <w:tcPr>
            <w:tcW w:w="1260" w:type="dxa"/>
            <w:gridSpan w:val="2"/>
            <w:vAlign w:val="center"/>
          </w:tcPr>
          <w:p>
            <w:pPr>
              <w:spacing w:line="320" w:lineRule="exact"/>
              <w:jc w:val="center"/>
              <w:rPr>
                <w:spacing w:val="-10"/>
                <w:sz w:val="24"/>
              </w:rPr>
            </w:pPr>
            <w:r>
              <w:rPr>
                <w:rFonts w:hint="eastAsia" w:hAnsi="宋体"/>
                <w:spacing w:val="-10"/>
                <w:sz w:val="24"/>
              </w:rPr>
              <w:t>政治面貌</w:t>
            </w:r>
          </w:p>
        </w:tc>
        <w:tc>
          <w:tcPr>
            <w:tcW w:w="2524" w:type="dxa"/>
            <w:gridSpan w:val="3"/>
            <w:vAlign w:val="center"/>
          </w:tcPr>
          <w:p>
            <w:pPr>
              <w:spacing w:line="320" w:lineRule="exact"/>
              <w:jc w:val="center"/>
              <w:rPr>
                <w:spacing w:val="-10"/>
                <w:sz w:val="24"/>
              </w:rPr>
            </w:pPr>
            <w:r>
              <w:rPr>
                <w:rFonts w:hint="eastAsia" w:hAnsi="宋体"/>
                <w:spacing w:val="-1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continue"/>
            <w:vAlign w:val="center"/>
          </w:tcPr>
          <w:p>
            <w:pPr>
              <w:spacing w:line="320" w:lineRule="exact"/>
              <w:jc w:val="center"/>
              <w:rPr>
                <w:spacing w:val="-10"/>
                <w:sz w:val="24"/>
              </w:rPr>
            </w:pPr>
          </w:p>
        </w:tc>
        <w:tc>
          <w:tcPr>
            <w:tcW w:w="1134" w:type="dxa"/>
            <w:vAlign w:val="center"/>
          </w:tcPr>
          <w:p>
            <w:pPr>
              <w:spacing w:line="320" w:lineRule="exact"/>
              <w:jc w:val="center"/>
              <w:rPr>
                <w:spacing w:val="-10"/>
                <w:sz w:val="24"/>
              </w:rPr>
            </w:pPr>
          </w:p>
        </w:tc>
        <w:tc>
          <w:tcPr>
            <w:tcW w:w="1265"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2524"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continue"/>
            <w:vAlign w:val="center"/>
          </w:tcPr>
          <w:p>
            <w:pPr>
              <w:spacing w:line="320" w:lineRule="exact"/>
              <w:jc w:val="center"/>
              <w:rPr>
                <w:spacing w:val="-10"/>
                <w:sz w:val="24"/>
              </w:rPr>
            </w:pPr>
          </w:p>
        </w:tc>
        <w:tc>
          <w:tcPr>
            <w:tcW w:w="1134" w:type="dxa"/>
            <w:vAlign w:val="center"/>
          </w:tcPr>
          <w:p>
            <w:pPr>
              <w:spacing w:line="320" w:lineRule="exact"/>
              <w:jc w:val="center"/>
              <w:rPr>
                <w:spacing w:val="-10"/>
                <w:sz w:val="24"/>
              </w:rPr>
            </w:pPr>
          </w:p>
        </w:tc>
        <w:tc>
          <w:tcPr>
            <w:tcW w:w="1265"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2524"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continue"/>
            <w:vAlign w:val="center"/>
          </w:tcPr>
          <w:p>
            <w:pPr>
              <w:spacing w:line="320" w:lineRule="exact"/>
              <w:jc w:val="center"/>
              <w:rPr>
                <w:spacing w:val="-10"/>
                <w:sz w:val="24"/>
              </w:rPr>
            </w:pPr>
          </w:p>
        </w:tc>
        <w:tc>
          <w:tcPr>
            <w:tcW w:w="1134" w:type="dxa"/>
            <w:vAlign w:val="center"/>
          </w:tcPr>
          <w:p>
            <w:pPr>
              <w:spacing w:line="320" w:lineRule="exact"/>
              <w:jc w:val="center"/>
              <w:rPr>
                <w:spacing w:val="-10"/>
                <w:sz w:val="24"/>
              </w:rPr>
            </w:pPr>
          </w:p>
        </w:tc>
        <w:tc>
          <w:tcPr>
            <w:tcW w:w="1265"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2524"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continue"/>
            <w:vAlign w:val="center"/>
          </w:tcPr>
          <w:p>
            <w:pPr>
              <w:spacing w:line="320" w:lineRule="exact"/>
              <w:jc w:val="center"/>
              <w:rPr>
                <w:spacing w:val="-10"/>
                <w:sz w:val="24"/>
              </w:rPr>
            </w:pPr>
          </w:p>
        </w:tc>
        <w:tc>
          <w:tcPr>
            <w:tcW w:w="1134" w:type="dxa"/>
            <w:vAlign w:val="center"/>
          </w:tcPr>
          <w:p>
            <w:pPr>
              <w:spacing w:line="320" w:lineRule="exact"/>
              <w:jc w:val="center"/>
              <w:rPr>
                <w:spacing w:val="-10"/>
                <w:sz w:val="24"/>
              </w:rPr>
            </w:pPr>
          </w:p>
        </w:tc>
        <w:tc>
          <w:tcPr>
            <w:tcW w:w="1265"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2524"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9" w:type="dxa"/>
            <w:gridSpan w:val="2"/>
            <w:vMerge w:val="continue"/>
            <w:vAlign w:val="center"/>
          </w:tcPr>
          <w:p>
            <w:pPr>
              <w:spacing w:line="320" w:lineRule="exact"/>
              <w:jc w:val="center"/>
              <w:rPr>
                <w:spacing w:val="-10"/>
                <w:sz w:val="24"/>
              </w:rPr>
            </w:pPr>
          </w:p>
        </w:tc>
        <w:tc>
          <w:tcPr>
            <w:tcW w:w="1134" w:type="dxa"/>
            <w:vAlign w:val="center"/>
          </w:tcPr>
          <w:p>
            <w:pPr>
              <w:spacing w:line="320" w:lineRule="exact"/>
              <w:jc w:val="center"/>
              <w:rPr>
                <w:spacing w:val="-10"/>
                <w:sz w:val="24"/>
              </w:rPr>
            </w:pPr>
          </w:p>
        </w:tc>
        <w:tc>
          <w:tcPr>
            <w:tcW w:w="1265"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1260" w:type="dxa"/>
            <w:gridSpan w:val="2"/>
            <w:vAlign w:val="center"/>
          </w:tcPr>
          <w:p>
            <w:pPr>
              <w:spacing w:line="320" w:lineRule="exact"/>
              <w:jc w:val="center"/>
              <w:rPr>
                <w:spacing w:val="-10"/>
                <w:sz w:val="24"/>
              </w:rPr>
            </w:pPr>
          </w:p>
        </w:tc>
        <w:tc>
          <w:tcPr>
            <w:tcW w:w="2524" w:type="dxa"/>
            <w:gridSpan w:val="3"/>
            <w:vAlign w:val="center"/>
          </w:tcPr>
          <w:p>
            <w:pPr>
              <w:spacing w:line="32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489" w:type="dxa"/>
            <w:gridSpan w:val="2"/>
            <w:vAlign w:val="center"/>
          </w:tcPr>
          <w:p>
            <w:pPr>
              <w:spacing w:line="320" w:lineRule="exact"/>
              <w:jc w:val="center"/>
              <w:rPr>
                <w:spacing w:val="-10"/>
                <w:sz w:val="24"/>
              </w:rPr>
            </w:pPr>
            <w:r>
              <w:rPr>
                <w:rFonts w:hint="eastAsia"/>
                <w:spacing w:val="-10"/>
                <w:sz w:val="24"/>
              </w:rPr>
              <w:t>备注</w:t>
            </w:r>
          </w:p>
        </w:tc>
        <w:tc>
          <w:tcPr>
            <w:tcW w:w="7443" w:type="dxa"/>
            <w:gridSpan w:val="10"/>
            <w:vAlign w:val="center"/>
          </w:tcPr>
          <w:p>
            <w:pPr>
              <w:spacing w:line="320" w:lineRule="exact"/>
              <w:jc w:val="center"/>
              <w:rPr>
                <w:spacing w:val="-10"/>
                <w:sz w:val="24"/>
              </w:rPr>
            </w:pPr>
          </w:p>
        </w:tc>
      </w:tr>
    </w:tbl>
    <w:p>
      <w:pPr>
        <w:spacing w:line="400" w:lineRule="exact"/>
        <w:rPr>
          <w:spacing w:val="-10"/>
          <w:sz w:val="24"/>
        </w:rPr>
      </w:pPr>
      <w:r>
        <w:rPr>
          <w:spacing w:val="-10"/>
          <w:sz w:val="24"/>
        </w:rPr>
        <w:t>说明：1.工作简历要填写到月，填写清楚职务变化的时间；籍贯、居住地填写到市（县）；</w:t>
      </w:r>
    </w:p>
    <w:p>
      <w:pPr>
        <w:spacing w:line="400" w:lineRule="exact"/>
        <w:ind w:firstLine="660" w:firstLineChars="300"/>
        <w:rPr>
          <w:spacing w:val="-10"/>
          <w:sz w:val="24"/>
        </w:rPr>
      </w:pPr>
      <w:r>
        <w:rPr>
          <w:spacing w:val="-10"/>
          <w:sz w:val="24"/>
        </w:rPr>
        <w:t>2.家庭主要成员及重要社会关系须填写配偶、父母、子女有关情况；</w:t>
      </w:r>
    </w:p>
    <w:p>
      <w:pPr>
        <w:spacing w:line="400" w:lineRule="exact"/>
        <w:ind w:firstLine="660" w:firstLineChars="300"/>
        <w:rPr>
          <w:spacing w:val="-10"/>
          <w:sz w:val="24"/>
        </w:rPr>
      </w:pPr>
      <w:r>
        <w:rPr>
          <w:spacing w:val="-10"/>
          <w:sz w:val="24"/>
        </w:rPr>
        <w:t>3.本表一式</w:t>
      </w:r>
      <w:r>
        <w:rPr>
          <w:rFonts w:hint="eastAsia"/>
          <w:spacing w:val="-10"/>
          <w:sz w:val="24"/>
        </w:rPr>
        <w:t>2</w:t>
      </w:r>
      <w:r>
        <w:rPr>
          <w:spacing w:val="-10"/>
          <w:sz w:val="24"/>
        </w:rPr>
        <w:t>份，每份需贴一张近期同底一寸免冠彩色照片。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6669"/>
    <w:rsid w:val="000019BF"/>
    <w:rsid w:val="00026594"/>
    <w:rsid w:val="00026669"/>
    <w:rsid w:val="00051F9B"/>
    <w:rsid w:val="000F354C"/>
    <w:rsid w:val="001049DB"/>
    <w:rsid w:val="00140DF5"/>
    <w:rsid w:val="0016416A"/>
    <w:rsid w:val="00184071"/>
    <w:rsid w:val="00186751"/>
    <w:rsid w:val="00191D74"/>
    <w:rsid w:val="001D11F8"/>
    <w:rsid w:val="0020105D"/>
    <w:rsid w:val="0021200C"/>
    <w:rsid w:val="00212749"/>
    <w:rsid w:val="00285EFD"/>
    <w:rsid w:val="002B39EA"/>
    <w:rsid w:val="002E4DF8"/>
    <w:rsid w:val="002E583D"/>
    <w:rsid w:val="0030318F"/>
    <w:rsid w:val="00307607"/>
    <w:rsid w:val="003377A7"/>
    <w:rsid w:val="00341170"/>
    <w:rsid w:val="00347F09"/>
    <w:rsid w:val="00357524"/>
    <w:rsid w:val="00376EB8"/>
    <w:rsid w:val="0038354C"/>
    <w:rsid w:val="003B57A6"/>
    <w:rsid w:val="003C403C"/>
    <w:rsid w:val="003D1F7F"/>
    <w:rsid w:val="003E426B"/>
    <w:rsid w:val="003E5CEE"/>
    <w:rsid w:val="003F25EF"/>
    <w:rsid w:val="00402E92"/>
    <w:rsid w:val="004313F0"/>
    <w:rsid w:val="00475733"/>
    <w:rsid w:val="004800A9"/>
    <w:rsid w:val="0048624C"/>
    <w:rsid w:val="004B7F89"/>
    <w:rsid w:val="004F38D5"/>
    <w:rsid w:val="004F57A0"/>
    <w:rsid w:val="00511EBD"/>
    <w:rsid w:val="00527FE9"/>
    <w:rsid w:val="0055148A"/>
    <w:rsid w:val="00555D17"/>
    <w:rsid w:val="00563121"/>
    <w:rsid w:val="00575A1A"/>
    <w:rsid w:val="005850A0"/>
    <w:rsid w:val="005C3B1D"/>
    <w:rsid w:val="005E7EB1"/>
    <w:rsid w:val="006047AC"/>
    <w:rsid w:val="006466AB"/>
    <w:rsid w:val="00650B03"/>
    <w:rsid w:val="006678BB"/>
    <w:rsid w:val="00680DDD"/>
    <w:rsid w:val="006A4991"/>
    <w:rsid w:val="006B4806"/>
    <w:rsid w:val="006E0547"/>
    <w:rsid w:val="00717C98"/>
    <w:rsid w:val="007709BC"/>
    <w:rsid w:val="00787A89"/>
    <w:rsid w:val="007B1938"/>
    <w:rsid w:val="007C0CF6"/>
    <w:rsid w:val="007C6FA1"/>
    <w:rsid w:val="007E0749"/>
    <w:rsid w:val="007E1424"/>
    <w:rsid w:val="007F55E4"/>
    <w:rsid w:val="008078EE"/>
    <w:rsid w:val="00817A87"/>
    <w:rsid w:val="00852A55"/>
    <w:rsid w:val="008F67F7"/>
    <w:rsid w:val="009044AD"/>
    <w:rsid w:val="009246D2"/>
    <w:rsid w:val="009260AA"/>
    <w:rsid w:val="009478CA"/>
    <w:rsid w:val="00970D7E"/>
    <w:rsid w:val="009859DD"/>
    <w:rsid w:val="00986392"/>
    <w:rsid w:val="009A1074"/>
    <w:rsid w:val="009D2165"/>
    <w:rsid w:val="009D6478"/>
    <w:rsid w:val="00A13A33"/>
    <w:rsid w:val="00A274D9"/>
    <w:rsid w:val="00A32250"/>
    <w:rsid w:val="00A72341"/>
    <w:rsid w:val="00A7244D"/>
    <w:rsid w:val="00A95A7D"/>
    <w:rsid w:val="00AA1945"/>
    <w:rsid w:val="00AB2BDD"/>
    <w:rsid w:val="00AE70BB"/>
    <w:rsid w:val="00AF1D33"/>
    <w:rsid w:val="00AF791B"/>
    <w:rsid w:val="00B04D27"/>
    <w:rsid w:val="00B25394"/>
    <w:rsid w:val="00B41D20"/>
    <w:rsid w:val="00B564A2"/>
    <w:rsid w:val="00B7677E"/>
    <w:rsid w:val="00BB7431"/>
    <w:rsid w:val="00BE6BE6"/>
    <w:rsid w:val="00C00457"/>
    <w:rsid w:val="00CB49AB"/>
    <w:rsid w:val="00CC6195"/>
    <w:rsid w:val="00D36967"/>
    <w:rsid w:val="00E35D22"/>
    <w:rsid w:val="00E42F29"/>
    <w:rsid w:val="00E51638"/>
    <w:rsid w:val="00E937C2"/>
    <w:rsid w:val="00ED0769"/>
    <w:rsid w:val="00F17343"/>
    <w:rsid w:val="00F31390"/>
    <w:rsid w:val="00F718B0"/>
    <w:rsid w:val="00F746A5"/>
    <w:rsid w:val="00F83D69"/>
    <w:rsid w:val="00F86326"/>
    <w:rsid w:val="00FB3621"/>
    <w:rsid w:val="00FD6ECE"/>
    <w:rsid w:val="00FF6228"/>
    <w:rsid w:val="1782472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Times New Roman"/>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仿宋_GB2312" w:hAnsi="仿宋" w:eastAsia="仿宋_GB2312" w:cs="Times New Roman"/>
      <w:sz w:val="18"/>
      <w:szCs w:val="18"/>
    </w:rPr>
  </w:style>
  <w:style w:type="character" w:customStyle="1" w:styleId="7">
    <w:name w:val="页脚 Char"/>
    <w:basedOn w:val="4"/>
    <w:link w:val="2"/>
    <w:semiHidden/>
    <w:uiPriority w:val="99"/>
    <w:rPr>
      <w:rFonts w:ascii="仿宋_GB2312" w:hAnsi="仿宋"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517</Words>
  <Characters>2952</Characters>
  <Lines>24</Lines>
  <Paragraphs>6</Paragraphs>
  <TotalTime>0</TotalTime>
  <ScaleCrop>false</ScaleCrop>
  <LinksUpToDate>false</LinksUpToDate>
  <CharactersWithSpaces>3463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2019-11-27T02:59:00Z</dcterms:created>
  <dc:creator>杨万鹏</dc:creator>
  <cp:lastModifiedBy>检查方案</cp:lastModifiedBy>
  <cp:lastPrinted>2019-11-27T06:22:31Z</cp:lastPrinted>
  <dcterms:modified xsi:type="dcterms:W3CDTF">2019-11-27T09:15:15Z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