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hd w:val="clear" w:color="000000" w:fill="FFFFFF"/>
        <w:spacing w:lineRule="auto" w:line="480" w:before="0" w:after="0"/>
        <w:ind w:right="0" w:firstLine="562"/>
        <w:rPr>
          <w:b w:val="0"/>
          <w:color w:val="333333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</w:p>
    <w:tbl>
      <w:tblID w:val="0"/>
      <w:tblPr>
        <w:tblStyle w:val="PO38"/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825"/>
        <w:gridCol w:w="810"/>
        <w:gridCol w:w="670"/>
        <w:gridCol w:w="5103"/>
        <w:gridCol w:w="67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 w:val="0"/>
        </w:trPr>
        <w:tc>
          <w:tcPr>
            <w:tcW w:type="dxa" w:w="825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聘用</w:t>
            </w: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部门</w:t>
            </w:r>
          </w:p>
        </w:tc>
        <w:tc>
          <w:tcPr>
            <w:tcW w:type="dxa" w:w="81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聘用</w:t>
            </w: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岗位</w:t>
            </w:r>
          </w:p>
        </w:tc>
        <w:tc>
          <w:tcPr>
            <w:tcW w:type="dxa" w:w="67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招聘</w:t>
            </w: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人数</w:t>
            </w:r>
          </w:p>
        </w:tc>
        <w:tc>
          <w:tcPr>
            <w:tcW w:type="dxa" w:w="5103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48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聘用要求</w:t>
            </w:r>
          </w:p>
        </w:tc>
        <w:tc>
          <w:tcPr>
            <w:tcW w:type="dxa" w:w="672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用人</w:t>
            </w: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性质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82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质量</w:t>
            </w: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保证</w:t>
            </w: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部</w:t>
            </w:r>
          </w:p>
        </w:tc>
        <w:tc>
          <w:tcPr>
            <w:tcW w:type="dxa" w:w="81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QA</w:t>
            </w:r>
          </w:p>
        </w:tc>
        <w:tc>
          <w:tcPr>
            <w:tcW w:type="dxa" w:w="6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48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1</w:t>
            </w:r>
          </w:p>
        </w:tc>
        <w:tc>
          <w:tcPr>
            <w:tcW w:type="dxa" w:w="510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1、具有五年以上药物GLP工作经验；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40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2、熟悉GLP计算机化系统的使用和管理；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40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3、熟悉国内外GLP法规及指导原则；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40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4、工作责任心强，有较好的沟通能力；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40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5、具有药学、药理学或生物学相关专业硕士以上学历。</w:t>
            </w:r>
          </w:p>
        </w:tc>
        <w:tc>
          <w:tcPr>
            <w:tcW w:type="dxa" w:w="67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人事</w:t>
            </w: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代理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82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毒理</w:t>
            </w: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部</w:t>
            </w:r>
          </w:p>
        </w:tc>
        <w:tc>
          <w:tcPr>
            <w:tcW w:type="dxa" w:w="81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专题</w:t>
            </w: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负责</w:t>
            </w: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人</w:t>
            </w:r>
          </w:p>
        </w:tc>
        <w:tc>
          <w:tcPr>
            <w:tcW w:type="dxa" w:w="6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48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1</w:t>
            </w:r>
          </w:p>
        </w:tc>
        <w:tc>
          <w:tcPr>
            <w:tcW w:type="dxa" w:w="510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1、具有三年以上药物GLP研究专题负责人工作经验；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40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2、具有犬、猴、小鼠、大鼠、兔等动物相应实验操作</w:t>
            </w: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经验；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40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3、工作责任心强，有较好的文字表达能力，有较强的</w:t>
            </w: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组织协调能力；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40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4、具有药学、药理学或生物学相关专业硕士以上学历；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40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5、能独立完成毒理学实验设计，实验数据的分析处理，</w:t>
            </w: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实验报告撰写。</w:t>
            </w:r>
          </w:p>
        </w:tc>
        <w:tc>
          <w:tcPr>
            <w:tcW w:type="dxa" w:w="67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人事</w:t>
            </w: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代理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82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1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技术</w:t>
            </w: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员</w:t>
            </w:r>
          </w:p>
        </w:tc>
        <w:tc>
          <w:tcPr>
            <w:tcW w:type="dxa" w:w="6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48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3</w:t>
            </w:r>
          </w:p>
        </w:tc>
        <w:tc>
          <w:tcPr>
            <w:tcW w:type="dxa" w:w="510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1、医学、药学、兽医、动物学、生物学等相关专业专</w:t>
            </w: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科及以上学历。</w:t>
            </w: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br/>
            </w: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2、熟悉动物实验等方面专业知识。具有较强的动手能</w:t>
            </w: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力，熟练掌握动物给药、采血等一般实验操作。</w:t>
            </w:r>
          </w:p>
        </w:tc>
        <w:tc>
          <w:tcPr>
            <w:tcW w:type="dxa" w:w="67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劳务</w:t>
            </w: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派遣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82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病理</w:t>
            </w: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检验</w:t>
            </w: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部</w:t>
            </w:r>
          </w:p>
        </w:tc>
        <w:tc>
          <w:tcPr>
            <w:tcW w:type="dxa" w:w="81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病理</w:t>
            </w: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诊断</w:t>
            </w:r>
          </w:p>
        </w:tc>
        <w:tc>
          <w:tcPr>
            <w:tcW w:type="dxa" w:w="6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48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1</w:t>
            </w:r>
          </w:p>
        </w:tc>
        <w:tc>
          <w:tcPr>
            <w:tcW w:type="dxa" w:w="510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 xml:space="preserve">1、具有三年以上药物GLP 病理诊断工作经验；有病理</w:t>
            </w: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诊断同行评议经验者优先；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40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2、工作责任心强，有较好的沟通能力；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40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3、具有药学、药理学或生物学相关专业硕士以上学历。</w:t>
            </w:r>
          </w:p>
        </w:tc>
        <w:tc>
          <w:tcPr>
            <w:tcW w:type="dxa" w:w="67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人事</w:t>
            </w: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代理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82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1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技术</w:t>
            </w: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员</w:t>
            </w:r>
          </w:p>
        </w:tc>
        <w:tc>
          <w:tcPr>
            <w:tcW w:type="dxa" w:w="6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48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2</w:t>
            </w:r>
          </w:p>
        </w:tc>
        <w:tc>
          <w:tcPr>
            <w:tcW w:type="dxa" w:w="510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 xml:space="preserve">1. 病理、临检、兽医、生物等相关专业，专科（及）以</w:t>
            </w: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上学历；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40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2、熟练操作和维护病理类相关仪器（包埋机、切片机、</w:t>
            </w: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染色机等）；熟悉病理制片技术工作。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40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3、具有相关实习/工作经验者优先。</w:t>
            </w:r>
          </w:p>
        </w:tc>
        <w:tc>
          <w:tcPr>
            <w:tcW w:type="dxa" w:w="67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劳务</w:t>
            </w: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派遣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82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分析</w:t>
            </w: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测试</w:t>
            </w: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部</w:t>
            </w:r>
          </w:p>
        </w:tc>
        <w:tc>
          <w:tcPr>
            <w:tcW w:type="dxa" w:w="81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技术</w:t>
            </w: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员</w:t>
            </w:r>
          </w:p>
        </w:tc>
        <w:tc>
          <w:tcPr>
            <w:tcW w:type="dxa" w:w="6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48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1</w:t>
            </w:r>
          </w:p>
        </w:tc>
        <w:tc>
          <w:tcPr>
            <w:tcW w:type="dxa" w:w="510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 xml:space="preserve">1. 药学、生物学、化学等相关专业，专科（及）以上</w:t>
            </w: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 xml:space="preserve">学历； 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40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2.熟练分析类相关仪器使用和管理（电子天平、pH计、</w:t>
            </w: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移液器等）；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40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3.具有相关实习/工作经验者优先。</w:t>
            </w:r>
          </w:p>
        </w:tc>
        <w:tc>
          <w:tcPr>
            <w:tcW w:type="dxa" w:w="67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劳务</w:t>
            </w: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派遣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82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条件</w:t>
            </w: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保障</w:t>
            </w: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部</w:t>
            </w:r>
          </w:p>
        </w:tc>
        <w:tc>
          <w:tcPr>
            <w:tcW w:type="dxa" w:w="81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IT/技</w:t>
            </w: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术员</w:t>
            </w:r>
          </w:p>
        </w:tc>
        <w:tc>
          <w:tcPr>
            <w:tcW w:type="dxa" w:w="6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48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1</w:t>
            </w:r>
          </w:p>
        </w:tc>
        <w:tc>
          <w:tcPr>
            <w:tcW w:type="dxa" w:w="510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 xml:space="preserve">1、大专及以上学历，计算机或IT相关专业； 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40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 xml:space="preserve">2、3年及以上网络管理、服务器网管工作经验； 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40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3、熟悉路由器，交换机、防火墙的网络设备的设置与</w:t>
            </w: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 xml:space="preserve">管理； 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40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 xml:space="preserve">4、熟悉局域网的维护及网络安全； 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40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 xml:space="preserve">5、具有独立分析和处理网络故障的能力； 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40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6、学习能力强，较好的沟通和协作能力，具备良好的</w:t>
            </w: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服务意识。</w:t>
            </w:r>
          </w:p>
        </w:tc>
        <w:tc>
          <w:tcPr>
            <w:tcW w:type="dxa" w:w="67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autoSpaceDE w:val="1"/>
              <w:autoSpaceDN w:val="1"/>
            </w:pP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劳务</w:t>
            </w:r>
            <w:r>
              <w:rPr>
                <w:b w:val="0"/>
                <w:color w:val="333333"/>
                <w:position w:val="0"/>
                <w:sz w:val="21"/>
                <w:szCs w:val="21"/>
                <w:rFonts w:ascii="微软雅黑" w:eastAsia="微软雅黑" w:hAnsi="微软雅黑" w:hint="default"/>
              </w:rPr>
              <w:t>派遣</w:t>
            </w:r>
          </w:p>
        </w:tc>
      </w:tr>
    </w:tbl>
    <w:p>
      <w:pPr>
        <w:numPr>
          <w:ilvl w:val="0"/>
          <w:numId w:val="0"/>
        </w:numPr>
        <w:jc w:val="right"/>
        <w:spacing w:lineRule="exact" w:line="400" w:before="0" w:after="0"/>
        <w:ind w:right="0" w:firstLine="560"/>
        <w:rPr>
          <w:b w:val="0"/>
          <w:color w:val="333333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</w:p>
    <w:sectPr>
      <w:headerReference w:type="default" r:id="rId5"/>
      <w:pgSz w:w="11906" w:h="16838"/>
      <w:pgMar w:top="1134" w:left="1418" w:bottom="1134" w:right="1418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微软雅黑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numPr>
        <w:ilvl w:val="0"/>
        <w:numId w:val="0"/>
      </w:numPr>
      <w:jc w:val="center"/>
      <w:spacing w:lineRule="auto" w:line="240" w:before="0" w:after="0"/>
      <w:ind w:right="0" w:firstLine="210"/>
      <w:tabs>
        <w:tab w:val="left" w:pos="645"/>
      </w:tabs>
      <w:rPr>
        <w:color w:val="auto"/>
        <w:position w:val="0"/>
        <w:sz w:val="16"/>
        <w:szCs w:val="16"/>
        <w:rFonts w:ascii="Calibri" w:eastAsia="宋体" w:hAnsi="宋体" w:hint="default"/>
      </w:rPr>
      <w:autoSpaceDE w:val="1"/>
      <w:autoSpaceDN w:val="1"/>
    </w:pPr>
    <w:r>
      <w:rPr>
        <w:color w:val="auto"/>
        <w:position w:val="0"/>
        <w:sz w:val="21"/>
        <w:szCs w:val="21"/>
        <w:rFonts w:ascii="Calibri" w:eastAsia="宋体" w:hAnsi="宋体" w:hint="default"/>
      </w:rPr>
      <w:t xml:space="preserve">                                      </w:t>
    </w:r>
    <w:r>
      <w:rPr>
        <w:sz w:val="20"/>
      </w:rPr>
      <w:drawing>
        <wp:anchor distT="0" distB="0" distL="114300" distR="114300" simplePos="0" relativeHeight="251624959" behindDoc="1" locked="0" layoutInCell="1" allowOverlap="1">
          <wp:simplePos x="0" y="0"/>
          <wp:positionH relativeFrom="column">
            <wp:posOffset>180344</wp:posOffset>
          </wp:positionH>
          <wp:positionV relativeFrom="paragraph">
            <wp:posOffset>6355</wp:posOffset>
          </wp:positionV>
          <wp:extent cx="495935" cy="486410"/>
          <wp:effectExtent l="19050" t="0" r="0" b="0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/Users/dell/AppData/Roaming/JisuOffice/ETemp/5192_8750584/image1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6570" cy="487045"/>
                  </a:xfrm>
                  <a:prstGeom prst="rect"/>
                  <a:noFill/>
                  <a:ln cap="flat"/>
                </pic:spPr>
              </pic:pic>
            </a:graphicData>
          </a:graphic>
        </wp:anchor>
      </w:drawing>
    </w:r>
  </w:p>
  <w:p>
    <w:pPr>
      <w:numPr>
        <w:ilvl w:val="0"/>
        <w:numId w:val="0"/>
      </w:numPr>
      <w:jc w:val="center"/>
      <w:spacing w:lineRule="auto" w:line="240" w:before="0" w:after="0"/>
      <w:ind w:right="0" w:firstLine="0"/>
      <w:rPr>
        <w:color w:val="auto"/>
        <w:position w:val="0"/>
        <w:sz w:val="16"/>
        <w:szCs w:val="16"/>
        <w:rFonts w:ascii="Calibri" w:eastAsia="宋体" w:hAnsi="宋体" w:hint="default"/>
      </w:rPr>
      <w:autoSpaceDE w:val="1"/>
      <w:autoSpaceDN w:val="1"/>
    </w:pPr>
    <w:bookmarkStart w:id="1" w:name="OLE_LINK1"/>
    <w:r>
      <w:rPr>
        <w:color w:val="auto"/>
        <w:position w:val="0"/>
        <w:sz w:val="16"/>
        <w:szCs w:val="16"/>
        <w:rFonts w:ascii="Calibri" w:eastAsia="宋体" w:hAnsi="宋体" w:hint="default"/>
      </w:rPr>
      <w:t>中国药科大学新药安全评价研究中心</w:t>
    </w:r>
  </w:p>
  <w:p>
    <w:pPr>
      <w:numPr>
        <w:ilvl w:val="0"/>
        <w:numId w:val="0"/>
      </w:numPr>
      <w:jc w:val="center"/>
      <w:spacing w:lineRule="auto" w:line="240" w:before="0" w:after="0"/>
      <w:ind w:right="0" w:firstLine="0"/>
      <w:rPr>
        <w:color w:val="000000"/>
        <w:position w:val="0"/>
        <w:sz w:val="16"/>
        <w:szCs w:val="16"/>
        <w:rFonts w:ascii="Calibri" w:eastAsia="宋体" w:hAnsi="宋体" w:hint="default"/>
      </w:rPr>
      <w:autoSpaceDE w:val="1"/>
      <w:autoSpaceDN w:val="1"/>
    </w:pPr>
    <w:r>
      <w:rPr>
        <w:color w:val="000000"/>
        <w:position w:val="0"/>
        <w:sz w:val="16"/>
        <w:szCs w:val="16"/>
        <w:rFonts w:ascii="Calibri" w:eastAsia="宋体" w:hAnsi="宋体" w:hint="default"/>
      </w:rPr>
      <w:t xml:space="preserve">Center for New Drug Safety Evaluation and Research, China Pharmaceutical University</w:t>
    </w:r>
    <w:bookmarkEnd w:id="1"/>
  </w:p>
  <w:p>
    <w:pPr>
      <w:pStyle w:val="PO152"/>
      <w:numPr>
        <w:ilvl w:val="0"/>
        <w:numId w:val="0"/>
      </w:numPr>
      <w:jc w:val="both"/>
      <w:spacing w:lineRule="auto" w:line="240" w:before="0" w:after="0"/>
      <w:pBdr>
        <w:bottom w:val="single" w:sz="6" w:space="0" w:color="000000"/>
      </w:pBdr>
      <w:ind w:right="0" w:firstLine="0"/>
      <w:tabs>
        <w:tab w:val="center" w:pos="4153"/>
        <w:tab w:val="center" w:pos="4153"/>
        <w:tab w:val="right" w:pos="8306"/>
        <w:tab w:val="right" w:pos="8306"/>
        <w:tab w:val="clear" w:pos="8306"/>
      </w:tabs>
      <w:rPr>
        <w:color w:val="auto"/>
        <w:position w:val="0"/>
        <w:sz w:val="18"/>
        <w:szCs w:val="18"/>
        <w:rFonts w:ascii="Calibri" w:eastAsia="宋体" w:hAnsi="宋体" w:hint="default"/>
      </w:rPr>
      <w:snapToGrid w:val="off"/>
      <w:autoSpaceDE w:val="1"/>
      <w:autoSpaceDN w:val="1"/>
    </w:pPr>
    <w:r>
      <w:rPr>
        <w:color w:val="auto"/>
        <w:position w:val="0"/>
        <w:sz w:val="18"/>
        <w:szCs w:val="18"/>
        <w:rFonts w:ascii="Calibri" w:eastAsia="宋体" w:hAnsi="宋体" w:hint="default"/>
      </w:rPr>
      <w:t>·</w:t>
    </w:r>
    <w:r>
      <w:rPr>
        <w:color w:val="auto"/>
        <w:position w:val="0"/>
        <w:sz w:val="18"/>
        <w:szCs w:val="18"/>
        <w:rFonts w:ascii="Calibri" w:eastAsia="宋体" w:hAnsi="宋体" w:hint="default"/>
      </w:rPr>
      <w:tab/>
    </w:r>
    <w:r>
      <w:rPr>
        <w:color w:val="auto"/>
        <w:position w:val="0"/>
        <w:sz w:val="18"/>
        <w:szCs w:val="18"/>
        <w:rFonts w:ascii="Calibri" w:eastAsia="宋体" w:hAnsi="宋体" w:hint="default"/>
      </w:rPr>
      <w:t xml:space="preserve">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1F000014"/>
    <w:lvl w:ilvl="0">
      <w:lvlJc w:val="left"/>
      <w:numFmt w:val="bullet"/>
      <w:start w:val="1"/>
      <w:suff w:val="tab"/>
      <w:pPr>
        <w:ind w:left="360" w:hanging="360"/>
        <w:jc w:val="both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1">
      <w:lvlJc w:val="left"/>
      <w:numFmt w:val="bullet"/>
      <w:start w:val="1"/>
      <w:suff w:val="tab"/>
      <w:pPr>
        <w:ind w:left="360" w:hanging="360"/>
        <w:jc w:val="both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2">
      <w:lvlJc w:val="left"/>
      <w:numFmt w:val="bullet"/>
      <w:start w:val="1"/>
      <w:suff w:val="tab"/>
      <w:pPr>
        <w:ind w:left="360" w:hanging="360"/>
        <w:jc w:val="both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3">
      <w:lvlJc w:val="left"/>
      <w:numFmt w:val="bullet"/>
      <w:start w:val="1"/>
      <w:suff w:val="tab"/>
      <w:pPr>
        <w:ind w:left="360" w:hanging="360"/>
        <w:jc w:val="both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360" w:hanging="360"/>
        <w:jc w:val="both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5">
      <w:lvlJc w:val="left"/>
      <w:numFmt w:val="bullet"/>
      <w:start w:val="1"/>
      <w:suff w:val="tab"/>
      <w:pPr>
        <w:ind w:left="360" w:hanging="360"/>
        <w:jc w:val="both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6">
      <w:lvlJc w:val="left"/>
      <w:numFmt w:val="bullet"/>
      <w:start w:val="1"/>
      <w:suff w:val="tab"/>
      <w:pPr>
        <w:ind w:left="360" w:hanging="360"/>
        <w:jc w:val="both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60" w:hanging="360"/>
        <w:jc w:val="both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8">
      <w:lvlJc w:val="left"/>
      <w:numFmt w:val="bullet"/>
      <w:start w:val="1"/>
      <w:suff w:val="tab"/>
      <w:pPr>
        <w:ind w:left="360" w:hanging="360"/>
        <w:jc w:val="both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uiPriority w:val="38"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header"/>
    <w:basedOn w:val="PO1"/>
    <w:link w:val="PO153"/>
    <w:uiPriority w:val="152"/>
    <w:semiHidden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3" w:type="character">
    <w:name w:val="页眉 Char"/>
    <w:basedOn w:val="PO2"/>
    <w:link w:val="PO152"/>
    <w:uiPriority w:val="153"/>
    <w:semiHidden/>
    <w:rPr>
      <w:shd w:val="clear"/>
      <w:sz w:val="18"/>
      <w:szCs w:val="18"/>
      <w:w w:val="100"/>
    </w:rPr>
  </w:style>
  <w:style w:styleId="PO154" w:type="paragraph">
    <w:name w:val="footer"/>
    <w:basedOn w:val="PO1"/>
    <w:link w:val="PO155"/>
    <w:uiPriority w:val="154"/>
    <w:semiHidden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5" w:type="character">
    <w:name w:val="页脚 Char"/>
    <w:basedOn w:val="PO2"/>
    <w:link w:val="PO154"/>
    <w:uiPriority w:val="155"/>
    <w:semiHidden/>
    <w:rPr>
      <w:shd w:val="clear"/>
      <w:sz w:val="18"/>
      <w:szCs w:val="18"/>
      <w:w w:val="100"/>
    </w:rPr>
  </w:style>
  <w:style w:styleId="PO156" w:type="paragraph">
    <w:name w:val="Balloon Text"/>
    <w:basedOn w:val="PO1"/>
    <w:link w:val="PO157"/>
    <w:uiPriority w:val="156"/>
    <w:semiHidden/>
    <w:unhideWhenUsed/>
    <w:rPr>
      <w:shd w:val="clear"/>
      <w:sz w:val="18"/>
      <w:szCs w:val="18"/>
      <w:w w:val="100"/>
    </w:rPr>
  </w:style>
  <w:style w:customStyle="1" w:styleId="PO157" w:type="character">
    <w:name w:val="批注框文本 Char"/>
    <w:basedOn w:val="PO2"/>
    <w:link w:val="PO156"/>
    <w:uiPriority w:val="157"/>
    <w:semiHidden/>
    <w:rPr>
      <w:shd w:val="clear"/>
      <w:sz w:val="18"/>
      <w:szCs w:val="18"/>
      <w:w w:val="100"/>
    </w:rPr>
  </w:style>
  <w:style w:styleId="PO158" w:type="character">
    <w:name w:val="Hyperlink"/>
    <w:basedOn w:val="PO2"/>
    <w:uiPriority w:val="158"/>
    <w:unhideWhenUsed/>
    <w:rPr>
      <w:color w:val="0000FF" w:themeColor="hyperlink"/>
      <w:shd w:val="clear"/>
      <w:sz w:val="20"/>
      <w:szCs w:val="20"/>
      <w:u w:val="single"/>
      <w:w w:val="100"/>
    </w:rPr>
  </w:style>
  <w:style w:styleId="PO159" w:type="character">
    <w:name w:val="FollowedHyperlink"/>
    <w:basedOn w:val="PO2"/>
    <w:uiPriority w:val="159"/>
    <w:semiHidden/>
    <w:unhideWhenUsed/>
    <w:rPr>
      <w:color w:val="800080" w:themeColor="followedHyperlink"/>
      <w:shd w:val="clear"/>
      <w:sz w:val="20"/>
      <w:szCs w:val="20"/>
      <w:u w:val="single"/>
      <w:w w:val="100"/>
    </w:rPr>
  </w:style>
  <w:style w:customStyle="1" w:styleId="PO160" w:type="paragraph">
    <w:name w:val="p"/>
    <w:basedOn w:val="PO1"/>
    <w:uiPriority w:val="160"/>
    <w:pPr>
      <w:autoSpaceDE w:val="1"/>
      <w:autoSpaceDN w:val="1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styleId="PO161" w:type="paragraph">
    <w:name w:val="Normal (Web)"/>
    <w:basedOn w:val="PO1"/>
    <w:uiPriority w:val="161"/>
    <w:unhideWhenUsed/>
    <w:pPr>
      <w:autoSpaceDE w:val="1"/>
      <w:autoSpaceDN w:val="1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styleId="PO162" w:type="paragraph">
    <w:name w:val="List Bullet"/>
    <w:basedOn w:val="PO1"/>
    <w:uiPriority w:val="162"/>
    <w:unhideWhenUsed/>
    <w:pPr>
      <w:autoSpaceDE w:val="1"/>
      <w:autoSpaceDN w:val="1"/>
      <w:numPr>
        <w:numId w:val="1"/>
        <w:ilvl w:val="0"/>
      </w:numPr>
      <w:widowControl/>
      <w:wordWrap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_rels/header2.xml.rels><?xml version="1.0" encoding="UTF-8"?>
<Relationships xmlns="http://schemas.openxmlformats.org/package/2006/relationships"><Relationship Id="rId1" Type="http://schemas.openxmlformats.org/officeDocument/2006/relationships/image" Target="media/image1.jpeg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Microsoft</Company>
  <DocSecurity>0</DocSecurity>
  <HyperlinksChanged>false</HyperlinksChanged>
  <Lines>11</Lines>
  <LinksUpToDate>false</LinksUpToDate>
  <Pages>2</Pages>
  <Paragraphs>3</Paragraphs>
  <Words>236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赵维俊</dc:creator>
  <cp:lastModifiedBy/>
  <dcterms:modified xsi:type="dcterms:W3CDTF">2019-11-21T07:51:00Z</dcterms:modified>
</cp:coreProperties>
</file>