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1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774"/>
        <w:gridCol w:w="1160"/>
        <w:gridCol w:w="641"/>
        <w:gridCol w:w="1678"/>
        <w:gridCol w:w="2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5"/>
                <w:rFonts w:ascii="黑体" w:hAnsi="宋体" w:eastAsia="黑体" w:cs="黑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介</w:t>
            </w:r>
          </w:p>
        </w:tc>
        <w:tc>
          <w:tcPr>
            <w:tcW w:w="6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384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丽水市中心医院（浙江大学丽水医院、温州医科大学附属第五医院）是国家三级甲等综合性医院、区域性标杆医院。医院职工3000余人，其中高中级职称1000余人，开放床位1630张，51个临床专科，100多个特色专科、专家门诊。临床医疗能力辐射浙江南部、中西部及闽北地区。有3个院士专家工作站、1个省博士后工作站、1个博士工作站、18个专家工作站、1个浙江省影像诊断与介入微创研究重点实验室。医院有37个省市重点学科，享受国务院特殊津贴、入选省151重点资助人才等中青年专家以及取得硕博学位的高层次人才达600余人，拥有一大批在省内享有较高知名度的医学专家。医院拥有200余套先进医疗设备，其中Force开源CT、3.0T磁共振、PET-CT均为业内先进设备。医院承担浙江大学医学院、温州医科大学的临床教学和研究生培养以及10多所国内医学院校的见习、实习带教工作，接受国外留学生到院见习、实习。近年来医院获国家、省市级科研项目450余项，获省市科技进步奖80余项，获国家专利230余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 w:firstLine="384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 w:firstLine="384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医院倡导“敬业惟精、协同惟和、创新惟绩、务实惟信”的医院精神，以“患者满意、职工爱戴、同行称赞、政府放心、社会推崇”为愿景，打造“全国地市级标杆医院”。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 w:firstLine="336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招聘岗位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学位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招聘人数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招聘专业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5F3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临床各专业医生（包括麻醉科、急诊医学科、重症医学科、耳鼻喉科、妇产科、儿科及内外科各系统）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本科/学士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临床医学及其他各专业方向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全日制，英语四级及以上；硕士及以上人员应具备一定的学术研究能力和临床实践能力。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5F3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博士后工作站、省重点实验室、放射、超声、检验、药学、病理等医技科室诊断医生、科研人员及技术人员。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本科/学士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临床医学、医学影像、检验医学、药学及相关专业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全日制，英语四级及以上；硕士及以上人员应具备一定的学术研究能力和临床实践能力。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5F3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临床护士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专科及以上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150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护理、助产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5F3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其他专业技术人员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软件工程、生物工程、医学类及管理类相关专业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英语四级及以上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其他</w:t>
            </w:r>
          </w:p>
        </w:tc>
        <w:tc>
          <w:tcPr>
            <w:tcW w:w="60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4"/>
                <w:szCs w:val="14"/>
                <w:bdr w:val="none" w:color="auto" w:sz="0" w:space="0"/>
              </w:rPr>
              <w:t>医学类博士、硕士、985、211本科毕业生可申请入编，硕士及以上人才享受人才公寓及其他配套待遇；其他人员通过市直公开招聘考试入编。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7"/>
          <w:sz w:val="14"/>
          <w:szCs w:val="14"/>
          <w:bdr w:val="none" w:color="auto" w:sz="0" w:space="0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7"/>
          <w:sz w:val="14"/>
          <w:szCs w:val="14"/>
          <w:bdr w:val="none" w:color="auto" w:sz="0" w:space="0"/>
          <w:shd w:val="clear" w:fill="FFFFFF"/>
        </w:rPr>
        <w:t>医、技、行政人员报名二维码：（联系人汤老师，电话0578-2285060）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7"/>
          <w:sz w:val="14"/>
          <w:szCs w:val="14"/>
          <w:bdr w:val="none" w:color="auto" w:sz="0" w:space="0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13660" cy="2430780"/>
            <wp:effectExtent l="0" t="0" r="762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7"/>
          <w:sz w:val="14"/>
          <w:szCs w:val="14"/>
          <w:bdr w:val="none" w:color="auto" w:sz="0" w:space="0"/>
          <w:shd w:val="clear" w:fill="FFFFFF"/>
        </w:rPr>
        <w:t>护理人员报名二维码：（联系人郑老师，电话0578-22855082）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r>
        <w:drawing>
          <wp:inline distT="0" distB="0" distL="114300" distR="114300">
            <wp:extent cx="2057400" cy="14478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80F4C"/>
    <w:rsid w:val="3F880F4C"/>
    <w:rsid w:val="6A09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2019-11-26T09:41:00Z</dcterms:created>
  <dc:creator>张翠</dc:creator>
  <cp:lastModifiedBy>张翠</cp:lastModifiedBy>
  <dcterms:modified xsi:type="dcterms:W3CDTF">2019-11-26T09:42:16Z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