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96" w:firstLineChars="49"/>
        <w:jc w:val="center"/>
        <w:rPr>
          <w:rFonts w:hint="eastAsia" w:ascii="方正小标宋_GBK" w:hAnsi="Times New Roman" w:eastAsia="方正小标宋_GBK" w:cs="Times New Roman"/>
          <w:sz w:val="40"/>
          <w:szCs w:val="40"/>
        </w:rPr>
      </w:pPr>
      <w:r>
        <w:rPr>
          <w:rFonts w:hint="eastAsia" w:ascii="方正小标宋_GBK" w:hAnsi="Times New Roman" w:eastAsia="方正小标宋_GBK" w:cs="Times New Roman"/>
          <w:sz w:val="40"/>
          <w:szCs w:val="40"/>
        </w:rPr>
        <w:t>盐城市亭湖区201</w:t>
      </w:r>
      <w:r>
        <w:rPr>
          <w:rFonts w:ascii="方正小标宋_GBK" w:hAnsi="Times New Roman" w:eastAsia="方正小标宋_GBK" w:cs="Times New Roman"/>
          <w:sz w:val="40"/>
          <w:szCs w:val="40"/>
        </w:rPr>
        <w:t>9</w:t>
      </w:r>
      <w:r>
        <w:rPr>
          <w:rFonts w:hint="eastAsia" w:ascii="方正小标宋_GBK" w:hAnsi="Times New Roman" w:eastAsia="方正小标宋_GBK" w:cs="Times New Roman"/>
          <w:sz w:val="40"/>
          <w:szCs w:val="40"/>
        </w:rPr>
        <w:t>年医疗卫生事业单位公开招聘工作人员岗位表</w:t>
      </w:r>
    </w:p>
    <w:p>
      <w:pPr>
        <w:spacing w:line="0" w:lineRule="atLeast"/>
        <w:ind w:firstLine="102" w:firstLineChars="49"/>
        <w:jc w:val="center"/>
        <w:rPr>
          <w:rFonts w:hint="eastAsia" w:ascii="方正小标宋_GBK" w:hAnsi="Times New Roman" w:eastAsia="方正小标宋_GBK" w:cs="Times New Roman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49"/>
        <w:gridCol w:w="708"/>
        <w:gridCol w:w="684"/>
        <w:gridCol w:w="648"/>
        <w:gridCol w:w="2070"/>
        <w:gridCol w:w="1745"/>
        <w:gridCol w:w="3745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其它资格条件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01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亭湖区疾病预防控制中心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公卫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预防医学、公共卫生、公共卫生与预防医学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全日制普通高校本科及以上学历，并取得相应学位（不含2</w:t>
            </w:r>
            <w:r>
              <w:rPr>
                <w:rFonts w:ascii="方正仿宋_GBK" w:hAnsi="仿宋" w:eastAsia="方正仿宋_GBK" w:cs="宋体"/>
                <w:kern w:val="0"/>
                <w:szCs w:val="21"/>
              </w:rPr>
              <w:t>020</w:t>
            </w: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年应届毕业生）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聘用后服务期限不少于5年。</w:t>
            </w:r>
          </w:p>
          <w:p>
            <w:pPr>
              <w:spacing w:line="0" w:lineRule="atLeast"/>
              <w:ind w:firstLine="420" w:firstLineChars="200"/>
              <w:rPr>
                <w:rFonts w:hint="eastAsia" w:ascii="方正仿宋_GBK" w:hAnsi="黑体" w:eastAsia="方正仿宋_GBK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02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财会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会计、会计学、财务会计与审计、经济学、财政学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本科及以上学历，并取得相应学位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聘用后服务期限不少于5年。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03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便仓卫生院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Times New Roman" w:eastAsia="方正仿宋_GBK" w:cs="Times New Roma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全日制大专及以上学历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取得临床类执业（助理）医师资格（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020届毕业生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不作要求，但须在聘用后5年内取得）。具有临床类中级及以上职称的，年龄放宽至40周岁（197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口腔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口腔医学、口腔临床医学、临床医学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取得口腔类执业医师资格。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南洋卫生院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公卫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预防医学、公共卫生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全日制大专及以上学历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取得公卫类执业（助理）医师资格（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内取得）。具有公卫类中级及以上职称的，年龄放宽至40周岁（197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药剂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药剂学、药理学、药学、临床药学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取得药学初级及以上专业技术资格。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盐东卫生院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全日制大专及以上学历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取得临床类执业（助理）医师资格（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内取得）。具有临床类中级及以上职称的，年龄放宽至40周岁（197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公卫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预防医学、公共卫生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全日制大专及以上学历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取得公卫类执业（助理）医师资格（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内取得）。具有公卫类中级及以上职称的，年龄放宽至40周岁（197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09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黄尖卫生院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全日制大专及以上学历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取得临床类执业（助理）医师资格（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内取得）。具有临床类中级及以上职称的，年龄放宽至40周岁（197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青墩卫生院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全日制大专及以上学历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取得临床类执业（助理）医师资格（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内取得）。具有临床类中级及以上职称的，年龄放宽至40周岁（197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中医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中医（学）、中西医结合、中西医结合临床、中西医临床医学、针灸推拿（学）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全日制大专及以上学历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取得中医类执业（助理）医师资格（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内取得）。具有中医类中级及以上职称的，年龄放宽至40周岁（197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药剂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药剂学、药理学、药学、临床药学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取得药学初级及以上专业技术资格。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新兴卫生院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口腔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口腔医学、口腔临床医学、临床医学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取得口腔类执业医师资格。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永丰卫生院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全日制大专及以上学历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取得临床类执业（助理）医师资格（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内取得）。具有临床类中级及以上职称的，年龄放宽至40周岁（197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大洋卫生服务中心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取得临床类执业医师资格（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内取得）。具有临床类中级及以上职称的，年龄放宽至40周岁（197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中医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中医（学）、中西医结合、中西医结合临床、中西医临床医学、针灸推拿（学）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取得中医类执业医师资格（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全日制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内取得）。具有中医类中级及以上职称的，年龄放宽至40周岁（197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口腔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口腔医学、口腔临床医学、临床医学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取得口腔类执业医师资格。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毓龙卫生服务中心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kern w:val="0"/>
                <w:szCs w:val="21"/>
              </w:rPr>
              <w:t>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取得临床类执业医师资格（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020届全日制毕业生不作要求，但须在聘用后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内取得）。具有临床类中级及以上职称的，年龄放宽至40周岁（197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中医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中医（学）、中西医结合、中西医结合临床、中西医临床医学、针灸推拿（学）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取得中医类执业医师资格（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020届全日制毕业生不作要求，但须在聘用后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内取得）。具有中医类中级及以上职称的，年龄放宽至40周岁（197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五星卫生服务中心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中医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中医（学）、中西医结合、中西医结合临床、中西医临床医学、针灸推拿（学）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取得中医类执业医师资格（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020届全日制毕业生不作要求，但须在聘用后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内取得）。具有中医类中级及以上职称的，年龄放宽至40周岁（197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先锋卫生服务中心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kern w:val="0"/>
                <w:szCs w:val="21"/>
              </w:rPr>
              <w:t>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取得临床类执业医师资格（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020届全日制毕业生不作要求，但须在聘用后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内取得）。具有临床类中级及以上职称的，年龄放宽至40周岁（197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公卫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预防医学、公共卫生、临床医学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取得公卫类执业医师资格（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020届全日制毕业生不作要求，但须在聘用后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内取得）。具有公卫类中级及以上职称的，年龄放宽至40周岁（197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新洋卫生服务中心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Times New Roman" w:eastAsia="方正仿宋_GBK" w:cs="Times New Roma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取得临床类执业医师资格（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020届全日制毕业生不作要求，但须在聘用后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内取得）。具有临床类中级及以上职称的，年龄放宽至40周岁（197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新城卫生服务中心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差额拨款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临床医学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取得临床类执业医师资格（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020届全日制毕业生不作要求，但须在聘用后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内取得）。具有临床类中级及以上职称的，年龄放宽至40周岁（197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宋体" w:eastAsia="方正仿宋_GBK" w:cs="宋体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中医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中医（学）、中西医结合、中西医结合临床、中西医临床医学、针灸推拿（学）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本科及以上学历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取得中医类执业医师资格（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、2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020届全日制毕业生不作要求，但须在聘用后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5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内取得）。具有中医类中级及以上职称的，年龄放宽至40周岁（197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年1月1日以后出生）。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聘用后服务期限不少于5年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86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合    计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3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4</w:t>
            </w:r>
          </w:p>
        </w:tc>
        <w:tc>
          <w:tcPr>
            <w:tcW w:w="994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</w:p>
        </w:tc>
      </w:tr>
    </w:tbl>
    <w:p>
      <w:pPr>
        <w:pStyle w:val="4"/>
        <w:widowControl w:val="0"/>
        <w:shd w:val="clear" w:color="auto" w:fill="FFFFFF"/>
        <w:spacing w:before="0" w:beforeAutospacing="0" w:after="0" w:afterAutospacing="0" w:line="0" w:lineRule="atLeast"/>
        <w:ind w:right="23"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注：专业参照《江苏省20</w:t>
      </w:r>
      <w:r>
        <w:rPr>
          <w:rFonts w:ascii="宋体" w:hAnsi="宋体" w:eastAsia="宋体"/>
          <w:sz w:val="21"/>
          <w:szCs w:val="21"/>
        </w:rPr>
        <w:t>20</w:t>
      </w:r>
      <w:r>
        <w:rPr>
          <w:rFonts w:hint="eastAsia" w:ascii="宋体" w:hAnsi="宋体" w:eastAsia="宋体"/>
          <w:sz w:val="21"/>
          <w:szCs w:val="21"/>
        </w:rPr>
        <w:t>考试录用公务员专业参考目录》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2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ascii="宋体" w:hAnsi="宋体" w:eastAsia="宋体" w:cs="Times New Roman"/>
        <w:sz w:val="28"/>
        <w:szCs w:val="28"/>
      </w:rPr>
      <w:t xml:space="preserve"> </w:t>
    </w:r>
    <w:r>
      <w:rPr>
        <w:rFonts w:hint="eastAsia" w:ascii="宋体" w:hAnsi="宋体" w:eastAsia="宋体" w:cs="Times New Roman"/>
        <w:sz w:val="28"/>
        <w:szCs w:val="28"/>
      </w:rPr>
      <w:t>—</w:t>
    </w:r>
  </w:p>
  <w:p>
    <w:pPr>
      <w:pStyle w:val="2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478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14.55pt;mso-position-horizontal:center;mso-position-horizontal-relative:margin;z-index:251660288;mso-width-relative:page;mso-height-relative:page;" filled="f" stroked="f" coordsize="21600,21600" o:gfxdata="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pU962&#10;1AAAAAMBAAAPAAAAAAAAAAEAIAAAACIAAABkcnMvZG93bnJldi54bWxQSwECFAAUAAAACACHTuJA&#10;5zp5RrMBAABHAwAADgAAAAAAAAABACAAAAAjAQAAZHJzL2Uyb0RvYy54bWxQSwUGAAAAAAYABgBZ&#10;AQAASA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C7B6F"/>
    <w:rsid w:val="29C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nhideWhenUsed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unhideWhenUsed/>
    <w:uiPriority w:val="0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  <w:lang w:val="en-US" w:eastAsia="zh-CN" w:bidi="ar-SA"/>
    </w:rPr>
  </w:style>
  <w:style w:type="character" w:styleId="7">
    <w:name w:val="page number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2019-11-18T07:17:00Z</dcterms:created>
  <dc:creator>三好先生</dc:creator>
  <cp:lastModifiedBy>三好先生</cp:lastModifiedBy>
  <dcterms:modified xsi:type="dcterms:W3CDTF">2019-11-18T07:18:25Z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