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400" w:type="dxa"/>
        <w:tblInd w:w="93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080"/>
        <w:gridCol w:w="1080"/>
        <w:gridCol w:w="1080"/>
        <w:gridCol w:w="2910"/>
        <w:gridCol w:w="1859"/>
        <w:gridCol w:w="1080"/>
        <w:gridCol w:w="1080"/>
        <w:gridCol w:w="991"/>
        <w:gridCol w:w="108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4400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lang w:val="en-US" w:eastAsia="zh-CN" w:bidi="ar"/>
              </w:rPr>
              <w:t>东台市人民医院人才招聘需求计划表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招聘单位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经费性质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岗位类别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招聘岗位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  业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招聘对象及条件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开考比例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考试方式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差额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拨款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内科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内科学（含：心血管病、血液病、呼吸系病、消化系病、内分泌与代谢病、肾病、风湿病、传染病、儿科学、肿瘤学、神经病学等）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硕士研究生及以上学历，取得相应学位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1：2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差额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拨款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外科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外科学（含：普外、骨外、手外、泌尿外、胸心外、神外、耳鼻喉科、眼科等）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硕士研究生及以上学历，取得相应学位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1：2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差额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拨款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ICU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硕士研究生及以上学历，取得相应学位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1：2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差额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拨款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急诊科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硕士研究生及以上学历，取得相应学位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1：2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差额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拨款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介入科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硕士研究生及以上学历，取得相应学位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1：2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差额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拨款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麻醉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麻醉科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麻醉学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硕士研究生及以上学历，取得相应学位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1：2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差额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拨款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硕士研究生及以上学历，取得相应学位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1：2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差额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拨款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ICU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全日制普通高校本科及以上学历，取得相应学位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1：3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笔试+面试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差额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拨款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急诊科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全日制普通高校本科及以上学历，取得相应学位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1：3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笔试+面试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差额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拨款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急诊科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全日制普通高校本科及以上学历，取得相应学位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1：3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笔试+面试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差额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拨款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康复科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临床医学、康复医学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全日制普通高校本科及以上学历，取得相应学位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1：3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笔试+面试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差额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拨款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感染科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全日制普通高校本科及以上学历，取得相应学位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1：3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笔试+面试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差额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拨款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烧伤科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全日制普通高校本科及以上学历，取得相应学位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1：3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笔试+面试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差额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拨款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内科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全日制普通高校本科及以上学历，取得相应学位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1：3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笔试+面试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差额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拨款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内科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全日制普通高校本科及以上学历，取得相应学位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1：3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笔试+面试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差额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拨款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外科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全日制普通高校本科及以上学历，取得相应学位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1：3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笔试+面试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差额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拨款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外科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全日制普通高校本科及以上学历，取得相应学位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1：3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笔试+面试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差额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拨款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妇产科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全日制普通高校本科及以上学历，取得相应学位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1：3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笔试+面试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差额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拨款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信息科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网络类、软件类、计算机科学与技术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全日制普通高校本科及以上学历，取得相应学位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1：3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笔试+面试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差额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拨款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全日制本科及以上学历，取得相应学位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1：3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差额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拨款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心脑电科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全日制普通高校本科及以上学历，取得相应学位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1：3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笔试+面试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差额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拨款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眼科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临床医学、眼科学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全日制普通高校本科及以上学历，取得相应学位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1：3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笔试+面试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差额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拨款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耳鼻喉科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临床医学、耳鼻喉科学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全日制普通高校本科及以上学历，取得相应学位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1：3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笔试+面试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差额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拨款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口腔科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口腔及相关专业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全日制普通高校本科及以上学历，取得相应学位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1：3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笔试+面试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感染科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全日制普通高校本科及以上学历，取得相应学位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1：3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笔试+面试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烧伤科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全日制普通高校本科及以上学历，取得相应学位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1：3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笔试+面试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内科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全日制普通高校本科及以上学历，取得相应学位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1：3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笔试+面试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内科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全日制普通高校本科及以上学历，取得相应学位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1：3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笔试+面试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外科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全日制普通高校本科及以上学历，取得相应学位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1：3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笔试+面试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外科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全日制普通高校本科及以上学历，取得相应学位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1：3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笔试+面试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泌尿外科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全日制普通高校本科及以上学历，取得相应学位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1：3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笔试+面试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妇产科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全日制普通高校本科及以上学历，取得相应学位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1：3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笔试+面试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儿科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全日制普通高校本科及以上学历，取得相应学位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1：3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笔试+面试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心脑电科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全日制普通高校本科及以上学历，取得相应学位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1：3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笔试+面试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眼科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全日制普通高校本科及以上学历，取得相应学位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1：3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笔试+面试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耳鼻喉科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临床医学、耳鼻喉科学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全日制普通高校本科及以上学历，取得相应学位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1：3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笔试+面试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口腔科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口腔及相关专业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全日制普通高校本科及以上学历，取得相应学位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1：3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笔试+面试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麻醉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麻醉科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麻醉学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全日制普通高校本科及以上学历，取得相应学位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1：3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笔试+面试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影像诊断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B超室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医学影像、临床医学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全日制普通高校本科及以上学历，取得相应学位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1：3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笔试+面试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放射治疗技术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放疗科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影像技术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全日制普通高校本科及以上学历，取得相应学位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1：3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笔试+面试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06B30"/>
    <w:rsid w:val="76D0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2019-11-15T02:28:00Z</dcterms:created>
  <dc:creator>秋叶夏花</dc:creator>
  <cp:lastModifiedBy>秋叶夏花</cp:lastModifiedBy>
  <dcterms:modified xsi:type="dcterms:W3CDTF">2019-11-15T02:28:56Z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