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left"/>
        <w:rPr>
          <w:rFonts w:hint="eastAsia" w:ascii="黑体" w:hAnsi="黑体"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2</w:t>
      </w:r>
    </w:p>
    <w:p>
      <w:pPr>
        <w:pStyle w:val="4"/>
        <w:widowControl/>
        <w:spacing w:line="360" w:lineRule="auto"/>
        <w:jc w:val="center"/>
        <w:rPr>
          <w:rFonts w:ascii="黑体" w:hAnsi="黑体" w:eastAsia="黑体"/>
          <w:kern w:val="0"/>
          <w:sz w:val="32"/>
          <w:szCs w:val="32"/>
        </w:rPr>
      </w:pPr>
      <w:r>
        <w:rPr>
          <w:rFonts w:hint="eastAsia" w:ascii="黑体" w:hAnsi="黑体" w:eastAsia="黑体"/>
          <w:kern w:val="0"/>
          <w:sz w:val="32"/>
          <w:szCs w:val="32"/>
        </w:rPr>
        <w:t>广州市海珠区发展和改革局下属事业单位区内公开选调工作人员职位表</w:t>
      </w:r>
    </w:p>
    <w:tbl>
      <w:tblPr>
        <w:tblStyle w:val="2"/>
        <w:tblW w:w="13135" w:type="dxa"/>
        <w:jc w:val="center"/>
        <w:tblLayout w:type="fixed"/>
        <w:tblCellMar>
          <w:top w:w="0" w:type="dxa"/>
          <w:left w:w="108" w:type="dxa"/>
          <w:bottom w:w="0" w:type="dxa"/>
          <w:right w:w="108" w:type="dxa"/>
        </w:tblCellMar>
      </w:tblPr>
      <w:tblGrid>
        <w:gridCol w:w="1430"/>
        <w:gridCol w:w="845"/>
        <w:gridCol w:w="1611"/>
        <w:gridCol w:w="2222"/>
        <w:gridCol w:w="1136"/>
        <w:gridCol w:w="1693"/>
        <w:gridCol w:w="2732"/>
        <w:gridCol w:w="1466"/>
      </w:tblGrid>
      <w:tr>
        <w:tblPrEx>
          <w:tblCellMar>
            <w:top w:w="0" w:type="dxa"/>
            <w:left w:w="108" w:type="dxa"/>
            <w:bottom w:w="0" w:type="dxa"/>
            <w:right w:w="108" w:type="dxa"/>
          </w:tblCellMar>
        </w:tblPrEx>
        <w:trPr>
          <w:trHeight w:val="636" w:hRule="atLeast"/>
          <w:jc w:val="center"/>
        </w:trPr>
        <w:tc>
          <w:tcPr>
            <w:tcW w:w="1430" w:type="dxa"/>
            <w:vMerge w:val="restart"/>
            <w:tcBorders>
              <w:top w:val="single" w:color="auto" w:sz="4" w:space="0"/>
              <w:left w:val="single" w:color="auto" w:sz="4" w:space="0"/>
              <w:right w:val="single" w:color="auto" w:sz="4" w:space="0"/>
            </w:tcBorders>
            <w:vAlign w:val="center"/>
          </w:tcPr>
          <w:p>
            <w:pPr>
              <w:pStyle w:val="4"/>
              <w:widowControl/>
              <w:jc w:val="center"/>
              <w:rPr>
                <w:rFonts w:eastAsia="黑体"/>
                <w:color w:val="000000"/>
                <w:kern w:val="0"/>
                <w:sz w:val="20"/>
                <w:szCs w:val="20"/>
              </w:rPr>
            </w:pPr>
            <w:r>
              <w:rPr>
                <w:rFonts w:hint="eastAsia" w:eastAsia="黑体"/>
                <w:color w:val="000000"/>
                <w:kern w:val="0"/>
                <w:sz w:val="20"/>
                <w:szCs w:val="20"/>
              </w:rPr>
              <w:t>选调</w:t>
            </w:r>
            <w:r>
              <w:rPr>
                <w:rFonts w:eastAsia="黑体"/>
                <w:color w:val="000000"/>
                <w:kern w:val="0"/>
                <w:sz w:val="20"/>
                <w:szCs w:val="20"/>
              </w:rPr>
              <w:t>单位名称</w:t>
            </w:r>
          </w:p>
        </w:tc>
        <w:tc>
          <w:tcPr>
            <w:tcW w:w="845" w:type="dxa"/>
            <w:vMerge w:val="restart"/>
            <w:tcBorders>
              <w:top w:val="single" w:color="auto" w:sz="4" w:space="0"/>
              <w:left w:val="single" w:color="auto" w:sz="4" w:space="0"/>
              <w:right w:val="single" w:color="auto" w:sz="4" w:space="0"/>
            </w:tcBorders>
            <w:vAlign w:val="center"/>
          </w:tcPr>
          <w:p>
            <w:pPr>
              <w:pStyle w:val="4"/>
              <w:widowControl/>
              <w:jc w:val="center"/>
              <w:rPr>
                <w:rFonts w:eastAsia="黑体"/>
                <w:color w:val="000000"/>
                <w:kern w:val="0"/>
                <w:sz w:val="20"/>
                <w:szCs w:val="20"/>
              </w:rPr>
            </w:pPr>
            <w:r>
              <w:rPr>
                <w:rFonts w:hint="eastAsia" w:eastAsia="黑体"/>
                <w:color w:val="000000"/>
                <w:kern w:val="0"/>
                <w:sz w:val="20"/>
                <w:szCs w:val="20"/>
              </w:rPr>
              <w:t>选调</w:t>
            </w:r>
          </w:p>
          <w:p>
            <w:pPr>
              <w:pStyle w:val="4"/>
              <w:widowControl/>
              <w:jc w:val="center"/>
              <w:rPr>
                <w:rFonts w:eastAsia="黑体"/>
                <w:color w:val="000000"/>
                <w:kern w:val="0"/>
                <w:sz w:val="20"/>
                <w:szCs w:val="20"/>
              </w:rPr>
            </w:pPr>
            <w:r>
              <w:rPr>
                <w:rFonts w:eastAsia="黑体"/>
                <w:color w:val="000000"/>
                <w:kern w:val="0"/>
                <w:sz w:val="20"/>
                <w:szCs w:val="20"/>
              </w:rPr>
              <w:t>职位数</w:t>
            </w:r>
          </w:p>
        </w:tc>
        <w:tc>
          <w:tcPr>
            <w:tcW w:w="3833" w:type="dxa"/>
            <w:gridSpan w:val="2"/>
            <w:tcBorders>
              <w:top w:val="single" w:color="auto" w:sz="4" w:space="0"/>
              <w:left w:val="nil"/>
              <w:bottom w:val="single" w:color="auto" w:sz="4" w:space="0"/>
              <w:right w:val="single" w:color="auto" w:sz="4" w:space="0"/>
            </w:tcBorders>
            <w:vAlign w:val="center"/>
          </w:tcPr>
          <w:p>
            <w:pPr>
              <w:pStyle w:val="4"/>
              <w:widowControl/>
              <w:jc w:val="center"/>
              <w:rPr>
                <w:rFonts w:eastAsia="黑体"/>
                <w:color w:val="000000"/>
                <w:kern w:val="0"/>
                <w:sz w:val="20"/>
                <w:szCs w:val="20"/>
              </w:rPr>
            </w:pPr>
            <w:r>
              <w:rPr>
                <w:rFonts w:hint="eastAsia" w:eastAsia="黑体"/>
                <w:color w:val="000000"/>
                <w:kern w:val="0"/>
                <w:sz w:val="20"/>
                <w:szCs w:val="20"/>
              </w:rPr>
              <w:t>资格系列</w:t>
            </w:r>
          </w:p>
        </w:tc>
        <w:tc>
          <w:tcPr>
            <w:tcW w:w="1136" w:type="dxa"/>
            <w:vMerge w:val="restart"/>
            <w:tcBorders>
              <w:top w:val="single" w:color="auto" w:sz="4" w:space="0"/>
              <w:left w:val="single" w:color="auto" w:sz="4" w:space="0"/>
              <w:right w:val="single" w:color="auto" w:sz="4" w:space="0"/>
            </w:tcBorders>
            <w:vAlign w:val="center"/>
          </w:tcPr>
          <w:p>
            <w:pPr>
              <w:pStyle w:val="4"/>
              <w:widowControl/>
              <w:jc w:val="center"/>
              <w:rPr>
                <w:rFonts w:eastAsia="黑体"/>
                <w:color w:val="000000"/>
                <w:kern w:val="0"/>
                <w:sz w:val="20"/>
                <w:szCs w:val="20"/>
              </w:rPr>
            </w:pPr>
            <w:r>
              <w:rPr>
                <w:rFonts w:eastAsia="黑体"/>
                <w:color w:val="000000"/>
                <w:kern w:val="0"/>
                <w:sz w:val="20"/>
                <w:szCs w:val="20"/>
              </w:rPr>
              <w:t>学历、学位要求</w:t>
            </w:r>
          </w:p>
        </w:tc>
        <w:tc>
          <w:tcPr>
            <w:tcW w:w="1693" w:type="dxa"/>
            <w:vMerge w:val="restart"/>
            <w:tcBorders>
              <w:top w:val="single" w:color="auto" w:sz="4" w:space="0"/>
              <w:left w:val="single" w:color="auto" w:sz="4" w:space="0"/>
              <w:right w:val="single" w:color="auto" w:sz="4" w:space="0"/>
            </w:tcBorders>
            <w:vAlign w:val="center"/>
          </w:tcPr>
          <w:p>
            <w:pPr>
              <w:pStyle w:val="4"/>
              <w:widowControl/>
              <w:jc w:val="center"/>
              <w:rPr>
                <w:rFonts w:eastAsia="黑体"/>
                <w:color w:val="000000"/>
                <w:kern w:val="0"/>
                <w:sz w:val="20"/>
                <w:szCs w:val="20"/>
              </w:rPr>
            </w:pPr>
            <w:r>
              <w:rPr>
                <w:rFonts w:hint="eastAsia" w:eastAsia="黑体"/>
                <w:color w:val="000000"/>
                <w:kern w:val="0"/>
                <w:sz w:val="20"/>
                <w:szCs w:val="20"/>
              </w:rPr>
              <w:t>选调</w:t>
            </w:r>
            <w:r>
              <w:rPr>
                <w:rFonts w:eastAsia="黑体"/>
                <w:color w:val="000000"/>
                <w:kern w:val="0"/>
                <w:sz w:val="20"/>
                <w:szCs w:val="20"/>
              </w:rPr>
              <w:t>对象</w:t>
            </w:r>
          </w:p>
        </w:tc>
        <w:tc>
          <w:tcPr>
            <w:tcW w:w="2732" w:type="dxa"/>
            <w:vMerge w:val="restart"/>
            <w:tcBorders>
              <w:top w:val="single" w:color="auto" w:sz="4" w:space="0"/>
              <w:left w:val="single" w:color="auto" w:sz="4" w:space="0"/>
              <w:right w:val="single" w:color="auto" w:sz="4" w:space="0"/>
            </w:tcBorders>
            <w:vAlign w:val="center"/>
          </w:tcPr>
          <w:p>
            <w:pPr>
              <w:pStyle w:val="4"/>
              <w:widowControl/>
              <w:jc w:val="center"/>
              <w:rPr>
                <w:rFonts w:eastAsia="黑体"/>
                <w:color w:val="000000"/>
                <w:kern w:val="0"/>
                <w:sz w:val="20"/>
                <w:szCs w:val="20"/>
              </w:rPr>
            </w:pPr>
            <w:r>
              <w:rPr>
                <w:rFonts w:eastAsia="黑体"/>
                <w:color w:val="000000"/>
                <w:kern w:val="0"/>
                <w:sz w:val="20"/>
                <w:szCs w:val="20"/>
              </w:rPr>
              <w:t>其</w:t>
            </w:r>
            <w:bookmarkStart w:id="0" w:name="_GoBack"/>
            <w:bookmarkEnd w:id="0"/>
            <w:r>
              <w:rPr>
                <w:rFonts w:eastAsia="黑体"/>
                <w:color w:val="000000"/>
                <w:kern w:val="0"/>
                <w:sz w:val="20"/>
                <w:szCs w:val="20"/>
              </w:rPr>
              <w:t>他资格条件</w:t>
            </w:r>
          </w:p>
        </w:tc>
        <w:tc>
          <w:tcPr>
            <w:tcW w:w="1466" w:type="dxa"/>
            <w:vMerge w:val="restart"/>
            <w:tcBorders>
              <w:top w:val="single" w:color="auto" w:sz="4" w:space="0"/>
              <w:left w:val="single" w:color="auto" w:sz="4" w:space="0"/>
              <w:right w:val="single" w:color="auto" w:sz="4" w:space="0"/>
            </w:tcBorders>
            <w:vAlign w:val="center"/>
          </w:tcPr>
          <w:p>
            <w:pPr>
              <w:pStyle w:val="4"/>
              <w:widowControl/>
              <w:jc w:val="center"/>
              <w:rPr>
                <w:rFonts w:eastAsia="黑体"/>
                <w:color w:val="000000"/>
                <w:kern w:val="0"/>
                <w:sz w:val="20"/>
                <w:szCs w:val="20"/>
              </w:rPr>
            </w:pPr>
            <w:r>
              <w:rPr>
                <w:rFonts w:eastAsia="黑体"/>
                <w:color w:val="000000"/>
                <w:kern w:val="0"/>
                <w:sz w:val="20"/>
                <w:szCs w:val="20"/>
              </w:rPr>
              <w:t>备注</w:t>
            </w:r>
          </w:p>
        </w:tc>
      </w:tr>
      <w:tr>
        <w:tblPrEx>
          <w:tblCellMar>
            <w:top w:w="0" w:type="dxa"/>
            <w:left w:w="108" w:type="dxa"/>
            <w:bottom w:w="0" w:type="dxa"/>
            <w:right w:w="108" w:type="dxa"/>
          </w:tblCellMar>
        </w:tblPrEx>
        <w:trPr>
          <w:trHeight w:val="636" w:hRule="atLeast"/>
          <w:jc w:val="center"/>
        </w:trPr>
        <w:tc>
          <w:tcPr>
            <w:tcW w:w="1430" w:type="dxa"/>
            <w:vMerge w:val="continue"/>
            <w:tcBorders>
              <w:left w:val="single" w:color="auto" w:sz="4" w:space="0"/>
              <w:bottom w:val="single" w:color="auto" w:sz="4" w:space="0"/>
              <w:right w:val="single" w:color="auto" w:sz="4" w:space="0"/>
            </w:tcBorders>
            <w:vAlign w:val="center"/>
          </w:tcPr>
          <w:p>
            <w:pPr>
              <w:pStyle w:val="4"/>
              <w:widowControl/>
              <w:jc w:val="center"/>
            </w:pPr>
          </w:p>
        </w:tc>
        <w:tc>
          <w:tcPr>
            <w:tcW w:w="845" w:type="dxa"/>
            <w:vMerge w:val="continue"/>
            <w:tcBorders>
              <w:left w:val="single" w:color="auto" w:sz="4" w:space="0"/>
              <w:bottom w:val="single" w:color="auto" w:sz="4" w:space="0"/>
              <w:right w:val="single" w:color="auto" w:sz="4" w:space="0"/>
            </w:tcBorders>
            <w:vAlign w:val="center"/>
          </w:tcPr>
          <w:p>
            <w:pPr>
              <w:pStyle w:val="4"/>
              <w:widowControl/>
              <w:jc w:val="center"/>
            </w:pPr>
          </w:p>
        </w:tc>
        <w:tc>
          <w:tcPr>
            <w:tcW w:w="1611" w:type="dxa"/>
            <w:tcBorders>
              <w:top w:val="single" w:color="auto" w:sz="4" w:space="0"/>
              <w:left w:val="nil"/>
              <w:bottom w:val="single" w:color="auto" w:sz="4" w:space="0"/>
              <w:right w:val="single" w:color="auto" w:sz="4" w:space="0"/>
            </w:tcBorders>
            <w:vAlign w:val="center"/>
          </w:tcPr>
          <w:p>
            <w:pPr>
              <w:pStyle w:val="4"/>
              <w:widowControl/>
              <w:jc w:val="center"/>
              <w:rPr>
                <w:rFonts w:eastAsia="黑体"/>
                <w:color w:val="000000"/>
                <w:kern w:val="0"/>
                <w:sz w:val="20"/>
                <w:szCs w:val="20"/>
              </w:rPr>
            </w:pPr>
            <w:r>
              <w:rPr>
                <w:rFonts w:hint="eastAsia" w:eastAsia="黑体"/>
                <w:color w:val="000000"/>
                <w:kern w:val="0"/>
                <w:sz w:val="20"/>
                <w:szCs w:val="20"/>
              </w:rPr>
              <w:t>管理岗位</w:t>
            </w:r>
          </w:p>
        </w:tc>
        <w:tc>
          <w:tcPr>
            <w:tcW w:w="2222" w:type="dxa"/>
            <w:tcBorders>
              <w:top w:val="single" w:color="auto" w:sz="4" w:space="0"/>
              <w:left w:val="nil"/>
              <w:bottom w:val="single" w:color="auto" w:sz="4" w:space="0"/>
              <w:right w:val="single" w:color="auto" w:sz="4" w:space="0"/>
            </w:tcBorders>
            <w:vAlign w:val="center"/>
          </w:tcPr>
          <w:p>
            <w:pPr>
              <w:pStyle w:val="4"/>
              <w:widowControl/>
              <w:jc w:val="center"/>
              <w:rPr>
                <w:rFonts w:eastAsia="黑体"/>
                <w:color w:val="000000"/>
                <w:kern w:val="0"/>
                <w:sz w:val="20"/>
                <w:szCs w:val="20"/>
              </w:rPr>
            </w:pPr>
            <w:r>
              <w:rPr>
                <w:rFonts w:hint="eastAsia" w:eastAsia="黑体"/>
                <w:color w:val="000000"/>
                <w:kern w:val="0"/>
                <w:sz w:val="20"/>
                <w:szCs w:val="20"/>
              </w:rPr>
              <w:t>专技岗位</w:t>
            </w:r>
          </w:p>
        </w:tc>
        <w:tc>
          <w:tcPr>
            <w:tcW w:w="1136" w:type="dxa"/>
            <w:vMerge w:val="continue"/>
            <w:tcBorders>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0"/>
                <w:szCs w:val="20"/>
              </w:rPr>
            </w:pPr>
          </w:p>
        </w:tc>
        <w:tc>
          <w:tcPr>
            <w:tcW w:w="1693" w:type="dxa"/>
            <w:vMerge w:val="continue"/>
            <w:tcBorders>
              <w:left w:val="single" w:color="auto" w:sz="4" w:space="0"/>
              <w:bottom w:val="single" w:color="000000" w:sz="4" w:space="0"/>
              <w:right w:val="single" w:color="auto" w:sz="4" w:space="0"/>
            </w:tcBorders>
            <w:vAlign w:val="center"/>
          </w:tcPr>
          <w:p>
            <w:pPr>
              <w:pStyle w:val="4"/>
              <w:widowControl/>
              <w:jc w:val="center"/>
              <w:rPr>
                <w:rFonts w:eastAsia="黑体"/>
                <w:color w:val="000000"/>
                <w:kern w:val="0"/>
                <w:sz w:val="20"/>
                <w:szCs w:val="20"/>
              </w:rPr>
            </w:pPr>
          </w:p>
        </w:tc>
        <w:tc>
          <w:tcPr>
            <w:tcW w:w="2732" w:type="dxa"/>
            <w:vMerge w:val="continue"/>
            <w:tcBorders>
              <w:left w:val="single" w:color="auto" w:sz="4" w:space="0"/>
              <w:bottom w:val="single" w:color="000000" w:sz="4" w:space="0"/>
              <w:right w:val="single" w:color="auto" w:sz="4" w:space="0"/>
            </w:tcBorders>
            <w:vAlign w:val="center"/>
          </w:tcPr>
          <w:p>
            <w:pPr>
              <w:pStyle w:val="4"/>
              <w:widowControl/>
              <w:jc w:val="center"/>
              <w:rPr>
                <w:rFonts w:eastAsia="黑体"/>
                <w:color w:val="000000"/>
                <w:kern w:val="0"/>
                <w:sz w:val="20"/>
                <w:szCs w:val="20"/>
              </w:rPr>
            </w:pPr>
          </w:p>
        </w:tc>
        <w:tc>
          <w:tcPr>
            <w:tcW w:w="1466" w:type="dxa"/>
            <w:vMerge w:val="continue"/>
            <w:tcBorders>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0"/>
                <w:szCs w:val="20"/>
              </w:rPr>
            </w:pPr>
          </w:p>
        </w:tc>
      </w:tr>
      <w:tr>
        <w:tblPrEx>
          <w:tblCellMar>
            <w:top w:w="0" w:type="dxa"/>
            <w:left w:w="108" w:type="dxa"/>
            <w:bottom w:w="0" w:type="dxa"/>
            <w:right w:w="108" w:type="dxa"/>
          </w:tblCellMar>
        </w:tblPrEx>
        <w:trPr>
          <w:trHeight w:val="1172"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仿宋_GB2312"/>
                <w:kern w:val="0"/>
                <w:sz w:val="20"/>
                <w:szCs w:val="20"/>
              </w:rPr>
            </w:pPr>
            <w:r>
              <w:rPr>
                <w:rFonts w:hint="eastAsia" w:eastAsia="仿宋_GB2312"/>
                <w:kern w:val="0"/>
                <w:sz w:val="20"/>
                <w:szCs w:val="20"/>
              </w:rPr>
              <w:t>广州市海珠区产业与重点建设项目促进中心</w:t>
            </w:r>
          </w:p>
        </w:tc>
        <w:tc>
          <w:tcPr>
            <w:tcW w:w="845" w:type="dxa"/>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仿宋_GB2312"/>
                <w:kern w:val="0"/>
                <w:sz w:val="20"/>
                <w:szCs w:val="20"/>
              </w:rPr>
            </w:pPr>
            <w:r>
              <w:rPr>
                <w:rFonts w:hint="eastAsia" w:eastAsia="仿宋_GB2312"/>
                <w:kern w:val="0"/>
                <w:sz w:val="20"/>
                <w:szCs w:val="20"/>
              </w:rPr>
              <w:t>2名</w:t>
            </w:r>
          </w:p>
        </w:tc>
        <w:tc>
          <w:tcPr>
            <w:tcW w:w="1611" w:type="dxa"/>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仿宋_GB2312"/>
                <w:kern w:val="0"/>
                <w:sz w:val="20"/>
                <w:szCs w:val="20"/>
              </w:rPr>
            </w:pPr>
            <w:r>
              <w:rPr>
                <w:rFonts w:hint="eastAsia" w:eastAsia="仿宋_GB2312"/>
                <w:kern w:val="0"/>
                <w:sz w:val="20"/>
                <w:szCs w:val="20"/>
              </w:rPr>
              <w:t>不限</w:t>
            </w:r>
          </w:p>
        </w:tc>
        <w:tc>
          <w:tcPr>
            <w:tcW w:w="2222" w:type="dxa"/>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仿宋_GB2312"/>
                <w:kern w:val="0"/>
                <w:sz w:val="20"/>
                <w:szCs w:val="20"/>
              </w:rPr>
            </w:pPr>
            <w:r>
              <w:rPr>
                <w:rFonts w:hint="eastAsia" w:eastAsia="仿宋_GB2312"/>
                <w:kern w:val="0"/>
                <w:sz w:val="20"/>
                <w:szCs w:val="20"/>
              </w:rPr>
              <w:t>社会科学研究系列、新闻专业系列、会计专业系列、统计专业系列、经济专业系列、律师系列</w:t>
            </w:r>
          </w:p>
        </w:tc>
        <w:tc>
          <w:tcPr>
            <w:tcW w:w="1136" w:type="dxa"/>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仿宋_GB2312"/>
                <w:kern w:val="0"/>
                <w:sz w:val="20"/>
                <w:szCs w:val="20"/>
              </w:rPr>
            </w:pPr>
            <w:r>
              <w:rPr>
                <w:rFonts w:hint="eastAsia" w:eastAsia="仿宋_GB2312"/>
                <w:kern w:val="0"/>
                <w:sz w:val="20"/>
                <w:szCs w:val="20"/>
              </w:rPr>
              <w:t>全日制本科及本科以上</w:t>
            </w:r>
          </w:p>
        </w:tc>
        <w:tc>
          <w:tcPr>
            <w:tcW w:w="1693" w:type="dxa"/>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仿宋_GB2312"/>
                <w:kern w:val="0"/>
                <w:sz w:val="20"/>
                <w:szCs w:val="20"/>
              </w:rPr>
            </w:pPr>
            <w:r>
              <w:rPr>
                <w:rFonts w:eastAsia="仿宋_GB2312"/>
                <w:kern w:val="0"/>
                <w:sz w:val="20"/>
                <w:szCs w:val="20"/>
              </w:rPr>
              <w:t>广州</w:t>
            </w:r>
            <w:r>
              <w:rPr>
                <w:rFonts w:hint="eastAsia" w:eastAsia="仿宋_GB2312"/>
                <w:kern w:val="0"/>
                <w:sz w:val="20"/>
                <w:szCs w:val="20"/>
              </w:rPr>
              <w:t>市海珠区</w:t>
            </w:r>
            <w:r>
              <w:rPr>
                <w:rFonts w:eastAsia="仿宋_GB2312"/>
                <w:kern w:val="0"/>
                <w:sz w:val="20"/>
                <w:szCs w:val="20"/>
              </w:rPr>
              <w:t>区内公益一类事业单位</w:t>
            </w:r>
            <w:r>
              <w:rPr>
                <w:rFonts w:hint="eastAsia" w:eastAsia="仿宋_GB2312"/>
                <w:kern w:val="0"/>
                <w:sz w:val="20"/>
                <w:szCs w:val="20"/>
              </w:rPr>
              <w:t>管理岗或专技岗</w:t>
            </w:r>
            <w:r>
              <w:rPr>
                <w:rFonts w:eastAsia="仿宋_GB2312"/>
                <w:kern w:val="0"/>
                <w:sz w:val="20"/>
                <w:szCs w:val="20"/>
              </w:rPr>
              <w:t>工作人员</w:t>
            </w:r>
          </w:p>
        </w:tc>
        <w:tc>
          <w:tcPr>
            <w:tcW w:w="2732" w:type="dxa"/>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仿宋_GB2312"/>
                <w:kern w:val="0"/>
                <w:sz w:val="20"/>
                <w:szCs w:val="20"/>
              </w:rPr>
            </w:pPr>
            <w:r>
              <w:rPr>
                <w:rFonts w:hint="eastAsia" w:eastAsia="仿宋_GB2312"/>
                <w:kern w:val="0"/>
                <w:sz w:val="20"/>
                <w:szCs w:val="20"/>
              </w:rPr>
              <w:t>35</w:t>
            </w:r>
            <w:r>
              <w:rPr>
                <w:rFonts w:eastAsia="仿宋_GB2312"/>
                <w:kern w:val="0"/>
                <w:sz w:val="20"/>
                <w:szCs w:val="20"/>
              </w:rPr>
              <w:t>周岁以下（</w:t>
            </w:r>
            <w:r>
              <w:rPr>
                <w:rFonts w:hint="eastAsia" w:eastAsia="仿宋_GB2312"/>
                <w:kern w:val="0"/>
                <w:sz w:val="20"/>
                <w:szCs w:val="20"/>
              </w:rPr>
              <w:t>1984</w:t>
            </w:r>
            <w:r>
              <w:rPr>
                <w:rFonts w:eastAsia="仿宋_GB2312"/>
                <w:kern w:val="0"/>
                <w:sz w:val="20"/>
                <w:szCs w:val="20"/>
              </w:rPr>
              <w:t>年</w:t>
            </w:r>
            <w:r>
              <w:rPr>
                <w:rFonts w:hint="eastAsia" w:eastAsia="仿宋_GB2312"/>
                <w:kern w:val="0"/>
                <w:sz w:val="20"/>
                <w:szCs w:val="20"/>
              </w:rPr>
              <w:t>11</w:t>
            </w:r>
            <w:r>
              <w:rPr>
                <w:rFonts w:eastAsia="仿宋_GB2312"/>
                <w:kern w:val="0"/>
                <w:sz w:val="20"/>
                <w:szCs w:val="20"/>
              </w:rPr>
              <w:t>月</w:t>
            </w:r>
            <w:r>
              <w:rPr>
                <w:rFonts w:hint="eastAsia" w:eastAsia="仿宋_GB2312"/>
                <w:kern w:val="0"/>
                <w:sz w:val="20"/>
                <w:szCs w:val="20"/>
              </w:rPr>
              <w:t>01</w:t>
            </w:r>
            <w:r>
              <w:rPr>
                <w:rFonts w:eastAsia="仿宋_GB2312"/>
                <w:kern w:val="0"/>
                <w:sz w:val="20"/>
                <w:szCs w:val="20"/>
              </w:rPr>
              <w:t>日以后出生）</w:t>
            </w:r>
            <w:r>
              <w:rPr>
                <w:rFonts w:hint="eastAsia" w:eastAsia="仿宋_GB2312"/>
                <w:kern w:val="0"/>
                <w:sz w:val="20"/>
                <w:szCs w:val="20"/>
              </w:rPr>
              <w:t>。有统计、金融工作经验者优先。</w:t>
            </w:r>
          </w:p>
        </w:tc>
        <w:tc>
          <w:tcPr>
            <w:tcW w:w="1466" w:type="dxa"/>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仿宋_GB2312"/>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dit="readOnly" w:enforcement="1" w:cryptProviderType="rsaFull" w:cryptAlgorithmClass="hash" w:cryptAlgorithmType="typeAny" w:cryptAlgorithmSid="4" w:cryptSpinCount="0" w:hash="pRucG/cAwKwW2q3DcI/+WJjK/p0=" w:salt="3j028oMup66UHUnu22rvX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A284B"/>
    <w:rsid w:val="45BF2FFC"/>
    <w:rsid w:val="7DDA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2019-11-07T02:11:00Z</dcterms:created>
  <dc:creator>小栗</dc:creator>
  <cp:lastModifiedBy>小栗</cp:lastModifiedBy>
  <dcterms:modified xsi:type="dcterms:W3CDTF">2019-11-07T02:13:29Z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