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42424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42424"/>
          <w:spacing w:val="0"/>
          <w:sz w:val="30"/>
          <w:szCs w:val="30"/>
          <w:bdr w:val="none" w:color="auto" w:sz="0" w:space="0"/>
          <w:shd w:val="clear" w:fill="FFFFFF"/>
        </w:rPr>
        <w:t>武汉设计工程学院成龙影视传媒学院招聘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42424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岗位要求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1747"/>
        <w:gridCol w:w="3188"/>
        <w:gridCol w:w="29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学科专业</w:t>
            </w:r>
          </w:p>
        </w:tc>
        <w:tc>
          <w:tcPr>
            <w:tcW w:w="17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3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专业或研究方向</w:t>
            </w:r>
          </w:p>
        </w:tc>
        <w:tc>
          <w:tcPr>
            <w:tcW w:w="2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舞蹈表演及戏剧舞蹈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表演专业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舞蹈表演、舞蹈教育、舞蹈编导、身体科学、现代舞技术、接触即兴、肢体剧场、舞蹈影像创作等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具有高校教学工作经历者优先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表演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影视表演，音乐剧表演，肢体的控制与表达，镜头前的语言，表演基础，台词基础等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条件特别优秀者学历要求可适当放宽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87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戏剧影视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美术设计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妆容、带有剧本与主题概念的演出空间设计，舞台与影视相关的制图与表现能力等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条件特别优秀者学历要求可适当放宽；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具有高校教学工作经历者优先。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播音主持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艺术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影视配音、赛事解说、融媒体节目制作、视听节目主持等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有知名媒体工作经验、普通话一级甲等、获业内专业奖项者优先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影视制作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剧本创作、摄影、摄像、影视制作等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条件特别优秀者学历要求可适当放宽；具有高校教学工作经历或具有行业工作经验，获得业内奖项者优先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55BFD"/>
    <w:rsid w:val="7FD55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2019-11-02T01:10:00Z</dcterms:created>
  <dc:creator>ASUS</dc:creator>
  <cp:lastModifiedBy>ASUS</cp:lastModifiedBy>
  <dcterms:modified xsi:type="dcterms:W3CDTF">2019-11-02T01:10:48Z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