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>
      <w:pPr>
        <w:pStyle w:val="2"/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ascii="黑体" w:hAnsi="黑体" w:eastAsia="黑体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-461010</wp:posOffset>
                </wp:positionV>
                <wp:extent cx="834390" cy="450850"/>
                <wp:effectExtent l="4445" t="5080" r="18415" b="203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600" w:lineRule="exact"/>
                              <w:rPr>
                                <w:rFonts w:ascii="黑体" w:hAnsi="黑体" w:eastAsia="黑体" w:cs="宋体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hAnsi="黑体" w:eastAsia="黑体" w:cs="宋体"/>
                                <w:kern w:val="0"/>
                                <w:sz w:val="32"/>
                                <w:szCs w:val="32"/>
                              </w:rPr>
                              <w:t>附件1：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5pt;margin-top:-36.3pt;height:35.5pt;width:65.7pt;z-index:251658240;mso-width-relative:margin;mso-height-relative:margin;" fillcolor="#FFFFFF" filled="t" stroked="t" coordsize="21600,21600" o:gfxdata="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4Fw1f2AAAAAoBAAAPAAAAAAAAAAEAIAAAACIAAABkcnMvZG93bnJldi54bWxQSwECFAAUAAAA&#10;CACHTuJAi3Iy7O4BAADnAwAADgAAAAAAAAABACAAAAAnAQAAZHJzL2Uyb0RvYy54bWxQSwUGAAAA&#10;AAYABgBZAQAAh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600" w:lineRule="exact"/>
                        <w:rPr>
                          <w:rFonts w:ascii="黑体" w:hAnsi="黑体" w:eastAsia="黑体" w:cs="宋体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黑体" w:hAnsi="黑体" w:eastAsia="黑体" w:cs="宋体"/>
                          <w:kern w:val="0"/>
                          <w:sz w:val="32"/>
                          <w:szCs w:val="32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>201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9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>年永顺县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公开比选乡镇领导班子成员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>职位及资格条件一览表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4"/>
        <w:tblW w:w="14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000"/>
        <w:gridCol w:w="1420"/>
        <w:gridCol w:w="1700"/>
        <w:gridCol w:w="1420"/>
        <w:gridCol w:w="6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  <w:lang w:eastAsia="zh-CN"/>
              </w:rPr>
              <w:t>职位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职数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面向范围</w:t>
            </w:r>
          </w:p>
        </w:tc>
        <w:tc>
          <w:tcPr>
            <w:tcW w:w="95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任职资格条件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年 龄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最低学历</w:t>
            </w:r>
          </w:p>
        </w:tc>
        <w:tc>
          <w:tcPr>
            <w:tcW w:w="63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乡镇副职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优秀村（社区）党组织书记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周岁以下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高中、中专</w:t>
            </w:r>
          </w:p>
        </w:tc>
        <w:tc>
          <w:tcPr>
            <w:tcW w:w="638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任村（居）“两委”正职连续满6年或特别优秀、任村（社区）党组织书记满3年的现任村（社区）党组织书记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；或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担任村（社区）党组织书记连续满3年、已考录为乡镇公务员（事业编制人员）且不在试用期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年龄及工作年限计算截至2019年10月31日。符合提拔副科级领导职务对应资格条件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乡镇副职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（二）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大学生村官</w:t>
            </w:r>
          </w:p>
        </w:tc>
        <w:tc>
          <w:tcPr>
            <w:tcW w:w="9500" w:type="dxa"/>
            <w:gridSpan w:val="3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全省统一招录的大学生村官；在村工作满一个聘期、担任村“两委”副职及以上职务，或在村工作满一个聘期、担任过村“两委”成员、离开大学生村官岗位3年以内、目前在县乡机关事业单位工作且不在试用期的在编在岗人员。年龄及工作年限计算截至2019年10月31日。符合提拔副科级领导职务对应资格条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乡镇副职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（三）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乡镇事业编制人员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周岁以下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大专</w:t>
            </w:r>
          </w:p>
        </w:tc>
        <w:tc>
          <w:tcPr>
            <w:tcW w:w="638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在乡镇工作5年以上，具有事业编制身份且现任乡镇（街道）事业单位（含事业站所，乡镇中小学校、卫生院等）主要负责人3年以上；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不包括工勤人员。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年龄及工作年限计算截至2019年10月31日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符合提拔副科级领导职务对应资格条件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乡镇副职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（四）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选调生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大学</w:t>
            </w:r>
          </w:p>
        </w:tc>
        <w:tc>
          <w:tcPr>
            <w:tcW w:w="638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在选调生岗位基层服务满两年可以报考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定向选调生选拔使用，按有关规定执行。年龄及工作年限计算截至2019年10月31日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符合提拔副科级领导职务对应资格条件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方正大标宋简体" w:hAnsi="方正小标宋_GBK" w:eastAsia="方正大标宋简体"/>
          <w:color w:val="000000"/>
          <w:sz w:val="44"/>
          <w:szCs w:val="44"/>
        </w:rPr>
        <w:sectPr>
          <w:footerReference r:id="rId3" w:type="default"/>
          <w:pgSz w:w="16838" w:h="11906" w:orient="landscape"/>
          <w:pgMar w:top="1417" w:right="1247" w:bottom="1417" w:left="1247" w:header="851" w:footer="992" w:gutter="0"/>
          <w:pgNumType w:fmt="numberInDash"/>
          <w:cols w:space="720" w:num="1"/>
          <w:rtlGutter w:val="0"/>
          <w:docGrid w:type="linesAndChars" w:linePitch="312" w:charSpace="0"/>
        </w:sect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备注：村（社区）党组织书记人选资格条件中“特别优秀”的界定：特别优秀的村（社区）党组织书记应当政治过硬、德才素质突出、群众公认度高，在关键时刻或者承担急难险重任务中经受住考验、表现突出、作出重大贡献，或工作实绩突出、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3年年度考核均为优秀等次，或获得过州级以上表彰奖励等）</w:t>
      </w:r>
    </w:p>
    <w:p>
      <w:bookmarkStart w:id="0" w:name="_GoBack"/>
      <w:bookmarkEnd w:id="0"/>
    </w:p>
    <w:sectPr>
      <w:footerReference r:id="rId4" w:type="default"/>
      <w:pgSz w:w="11907" w:h="16840"/>
      <w:pgMar w:top="1701" w:right="1531" w:bottom="1701" w:left="1531" w:header="851" w:footer="1304" w:gutter="0"/>
      <w:pgNumType w:fmt="numberInDash"/>
      <w:cols w:space="720" w:num="1"/>
      <w:rtlGutter w:val="0"/>
      <w:docGrid w:type="linesAndChars" w:linePitch="585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A4003"/>
    <w:rsid w:val="2AAA4003"/>
    <w:rsid w:val="4E20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2009-08-19T16:10:00Z</dcterms:created>
  <dc:creator>彭婷婷</dc:creator>
  <cp:lastModifiedBy>彭婷婷</cp:lastModifiedBy>
  <dcterms:modified xsi:type="dcterms:W3CDTF">2009-08-19T16:18:59Z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