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港澳地区知名院校、内地重点高校及国外知名院校名单</w:t>
      </w:r>
    </w:p>
    <w:p>
      <w:pPr>
        <w:widowControl w:val="0"/>
        <w:adjustRightInd/>
        <w:snapToGrid/>
        <w:spacing w:after="0" w:line="560" w:lineRule="exact"/>
        <w:jc w:val="center"/>
        <w:rPr>
          <w:rFonts w:hint="default" w:ascii="方正小标宋简体" w:hAnsi="方正小标宋简体" w:eastAsia="方正小标宋简体" w:cs="方正小标宋简体"/>
          <w:sz w:val="44"/>
          <w:szCs w:val="44"/>
          <w:shd w:val="clear" w:color="auto" w:fill="FFFFFF"/>
          <w:lang w:val="en-US" w:eastAsia="zh-CN"/>
        </w:rPr>
      </w:pPr>
    </w:p>
    <w:p>
      <w:pPr>
        <w:widowControl w:val="0"/>
        <w:numPr>
          <w:ilvl w:val="0"/>
          <w:numId w:val="1"/>
        </w:numPr>
        <w:adjustRightInd/>
        <w:snapToGrid/>
        <w:spacing w:after="0" w:line="560" w:lineRule="exact"/>
        <w:ind w:firstLine="640" w:firstLineChars="200"/>
        <w:jc w:val="both"/>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港澳地区知名院校</w:t>
      </w:r>
    </w:p>
    <w:p>
      <w:pPr>
        <w:widowControl w:val="0"/>
        <w:numPr>
          <w:numId w:val="0"/>
        </w:numPr>
        <w:adjustRightInd/>
        <w:snapToGrid/>
        <w:spacing w:after="0" w:line="560" w:lineRule="exact"/>
        <w:ind w:firstLine="640" w:firstLineChars="200"/>
        <w:jc w:val="both"/>
        <w:rPr>
          <w:rFonts w:hint="eastAsia" w:ascii="Times New Roman" w:hAnsi="Times New Roman" w:eastAsia="仿宋_GB2312"/>
          <w:sz w:val="32"/>
          <w:szCs w:val="32"/>
          <w:lang w:eastAsia="zh-CN"/>
        </w:rPr>
      </w:pPr>
      <w:r>
        <w:rPr>
          <w:rFonts w:ascii="Times New Roman" w:hAnsi="Times New Roman" w:eastAsia="仿宋_GB2312"/>
          <w:sz w:val="32"/>
          <w:szCs w:val="32"/>
        </w:rPr>
        <w:t>香港科技大学、香港大学、香港城市大学、香港中文大学、香港理工大学、澳门大学</w:t>
      </w:r>
      <w:r>
        <w:rPr>
          <w:rFonts w:hint="eastAsia" w:ascii="Times New Roman" w:hAnsi="Times New Roman" w:eastAsia="仿宋_GB2312"/>
          <w:sz w:val="32"/>
          <w:szCs w:val="32"/>
          <w:lang w:eastAsia="zh-CN"/>
        </w:rPr>
        <w:t>。</w:t>
      </w:r>
    </w:p>
    <w:p>
      <w:pPr>
        <w:widowControl w:val="0"/>
        <w:numPr>
          <w:ilvl w:val="0"/>
          <w:numId w:val="1"/>
        </w:numPr>
        <w:adjustRightInd/>
        <w:snapToGrid/>
        <w:spacing w:after="0" w:line="560" w:lineRule="exact"/>
        <w:ind w:firstLine="640" w:firstLineChars="200"/>
        <w:jc w:val="both"/>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内地重点院校</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清华大学、中国人民大学、北京航空航天大学、北京理工大学、中国农业大学、北京师范大学、中央民族大学、南开大学、天津大学、大连理工大学、同济大学、吉林大学、哈尔滨工业大学、复旦大学、上海交通大学、华东师范大学、南京大学、东南大学、浙江大学、山东大学、中国科学技术大学、厦门大学、武汉大学、华中科技大学、中南大学、中国海洋大学、中山大学、华南理工大学、四川大学、电子科技大学、西安交通大学、西北工业大学、兰州大学、重庆大学、国防科技大学、东北大学、郑州大学、云南大学、西北农林科技大学、湖南大学、新疆大学、北京交通大学、北京工业大学、北京科技大学、北京化工大学、北京邮电大学、首都师范大学、北京外国语大学、北京林业大学、外交学院、中国人民公安大学、对外经济贸易大学、中央财经大学、中国传媒大学、中央美术学院、天津工业大学、河北工业大学、中国政法大学、华北电力大学、太原理工大学、内蒙古大学、辽宁大学、大连海事大学、延边大学、南京林业大学、南京农业大学、哈尔滨工程大学、东北师范大学、河海大学、南京信息工程大学、中国矿业大学、上海财经大学、南京邮电大学、苏州大学、南京理工大学、江南大学、上海外国语大学、南京航空航天大学、上海大学、上海海洋大学、华东理工大学、东北林业大学、东华大学、东北农业大学、南京师范大学、中国美术学院、安徽大学、合肥工业大学、福州大学、中国地质大学、武汉理工大学、华中农业大学、华中师范大学、河南大学、南昌大学、华南师范大学、海南大学、湖南师范大学、中南财经政法大学、成都理工大学、西南石油大学、广西大学、暨南大学、西南交通大学、西南大学、西南财经大学、宁波大学、中国石油大学、中国科学院大学、四川农业大学、宁夏大学、石河子大学、长安大学、西安电子科技大学、青海大学、陕西师范大学、贵州大学、西藏大学、西北大学、</w:t>
      </w:r>
      <w:r>
        <w:fldChar w:fldCharType="begin"/>
      </w:r>
      <w:r>
        <w:instrText xml:space="preserve"> HYPERLINK "https://baike.baidu.com/item/%E5%B9%BF%E4%B8%9C%E5%B7%A5%E4%B8%9A%E5%A4%A7%E5%AD%A6" \t "_blank" </w:instrText>
      </w:r>
      <w:r>
        <w:fldChar w:fldCharType="separate"/>
      </w:r>
      <w:r>
        <w:rPr>
          <w:rFonts w:hint="eastAsia" w:ascii="仿宋_GB2312" w:hAnsi="仿宋_GB2312" w:eastAsia="仿宋_GB2312" w:cs="仿宋_GB2312"/>
          <w:sz w:val="32"/>
          <w:szCs w:val="32"/>
        </w:rPr>
        <w:t>广东工业大学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"https://baike.baidu.com/item/%E5%8D%8E%E5%8D%97%E5%86%9C%E4%B8%9A%E5%A4%A7%E5%AD%A6" \t "_blank" </w:instrText>
      </w:r>
      <w:r>
        <w:fldChar w:fldCharType="separate"/>
      </w:r>
      <w:r>
        <w:rPr>
          <w:rFonts w:hint="eastAsia" w:ascii="仿宋_GB2312" w:hAnsi="仿宋_GB2312" w:eastAsia="仿宋_GB2312" w:cs="仿宋_GB2312"/>
          <w:sz w:val="32"/>
          <w:szCs w:val="32"/>
        </w:rPr>
        <w:t>华南农业大学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、广东外语外贸大学、汕头大学。</w:t>
      </w:r>
    </w:p>
    <w:p>
      <w:pPr>
        <w:widowControl w:val="0"/>
        <w:adjustRightInd/>
        <w:snapToGrid/>
        <w:spacing w:after="0" w:line="56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lang w:val="en-US" w:eastAsia="zh-CN"/>
        </w:rPr>
        <w:t>三、</w:t>
      </w:r>
      <w:r>
        <w:rPr>
          <w:rFonts w:hint="eastAsia" w:ascii="黑体" w:hAnsi="黑体" w:eastAsia="黑体" w:cs="黑体"/>
          <w:sz w:val="32"/>
          <w:szCs w:val="32"/>
          <w:shd w:val="clear" w:color="auto" w:fill="FFFFFF"/>
        </w:rPr>
        <w:t>国外知名院校</w:t>
      </w:r>
    </w:p>
    <w:p>
      <w:pPr>
        <w:pStyle w:val="4"/>
        <w:spacing w:line="560" w:lineRule="exact"/>
        <w:ind w:firstLine="640" w:firstLineChars="200"/>
        <w:jc w:val="both"/>
        <w:rPr>
          <w:rFonts w:ascii="Times New Roman" w:hAnsi="Times New Roman" w:eastAsia="仿宋_GB2312"/>
          <w:sz w:val="32"/>
          <w:szCs w:val="32"/>
        </w:rPr>
      </w:pPr>
      <w:bookmarkStart w:id="0" w:name="ref_[4]_22774171" w:colFirst="0" w:colLast="0"/>
      <w:r>
        <w:rPr>
          <w:rFonts w:ascii="Times New Roman" w:hAnsi="Times New Roman" w:eastAsia="仿宋_GB2312"/>
          <w:sz w:val="32"/>
          <w:szCs w:val="32"/>
        </w:rPr>
        <w:t>哈佛大学</w:t>
      </w:r>
      <w:r>
        <w:rPr>
          <w:rFonts w:ascii="Times New Roman" w:hAnsi="Times New Roman" w:eastAsia="仿宋_GB2312"/>
          <w:bCs/>
          <w:sz w:val="32"/>
          <w:szCs w:val="32"/>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sz w:val="32"/>
          <w:szCs w:val="32"/>
        </w:rPr>
        <w:t>佐治亚理工学院</w:t>
      </w:r>
      <w:r>
        <w:rPr>
          <w:rFonts w:ascii="Times New Roman" w:hAnsi="Times New Roman" w:eastAsia="仿宋_GB2312"/>
          <w:sz w:val="32"/>
          <w:szCs w:val="32"/>
        </w:rPr>
        <w:fldChar w:fldCharType="end"/>
      </w:r>
      <w:r>
        <w:rPr>
          <w:rFonts w:ascii="Times New Roman" w:hAnsi="Times New Roman" w:eastAsia="仿宋_GB2312"/>
          <w:bCs/>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p>
    <w:p>
      <w:pPr>
        <w:widowControl w:val="0"/>
        <w:adjustRightInd/>
        <w:snapToGrid/>
        <w:spacing w:line="560" w:lineRule="exact"/>
        <w:ind w:firstLine="643" w:firstLineChars="200"/>
        <w:jc w:val="both"/>
        <w:rPr>
          <w:rFonts w:ascii="黑体" w:hAnsi="黑体" w:eastAsia="黑体" w:cs="黑体"/>
          <w:sz w:val="32"/>
          <w:szCs w:val="32"/>
          <w:shd w:val="clear" w:color="auto" w:fill="FFFFFF"/>
        </w:rPr>
      </w:pPr>
      <w:r>
        <w:rPr>
          <w:rFonts w:hint="eastAsia" w:ascii="仿宋_GB2312" w:hAnsi="仿宋_GB2312" w:eastAsia="仿宋_GB2312" w:cs="仿宋_GB2312"/>
          <w:b/>
          <w:sz w:val="32"/>
          <w:szCs w:val="32"/>
        </w:rPr>
        <w:t>备注：</w:t>
      </w:r>
      <w:r>
        <w:rPr>
          <w:rFonts w:hint="eastAsia" w:ascii="仿宋_GB2312" w:hAnsi="仿宋_GB2312" w:eastAsia="仿宋_GB2312" w:cs="仿宋_GB2312"/>
          <w:sz w:val="32"/>
          <w:szCs w:val="32"/>
        </w:rPr>
        <w:t>国外知名院校范围包括且不限于上述所列院校，未列明的院校为2015-2019年QS或泰晤士报世界排名前300名院校。</w:t>
      </w:r>
    </w:p>
    <w:bookmarkEnd w:id="0"/>
    <w:p>
      <w:pPr>
        <w:spacing w:line="560" w:lineRule="exact"/>
        <w:ind w:firstLine="440" w:firstLineChars="200"/>
      </w:pPr>
      <w:bookmarkStart w:id="1" w:name="_GoBack"/>
      <w:bookmarkEnd w:id="1"/>
    </w:p>
    <w:sectPr>
      <w:headerReference r:id="rId4" w:type="first"/>
      <w:footerReference r:id="rId6" w:type="first"/>
      <w:headerReference r:id="rId3" w:type="default"/>
      <w:footerReference r:id="rId5" w:type="default"/>
      <w:pgSz w:w="11906" w:h="16838"/>
      <w:pgMar w:top="1440" w:right="1800" w:bottom="1440" w:left="1800" w:header="708" w:footer="708" w:gutter="0"/>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黑体" w:hAnsi="黑体" w:eastAsia="黑体" w:cs="黑体"/>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黑体" w:hAnsi="黑体" w:eastAsia="黑体" w:cs="黑体"/>
        <w:sz w:val="32"/>
        <w:szCs w:val="32"/>
      </w:rPr>
    </w:pPr>
    <w:r>
      <w:rPr>
        <w:rFonts w:hint="eastAsia" w:ascii="黑体" w:hAnsi="黑体" w:eastAsia="黑体" w:cs="黑体"/>
        <w:sz w:val="32"/>
        <w:szCs w:val="32"/>
        <w:shd w:val="clear" w:color="auto" w:fill="FFFFFF"/>
      </w:rPr>
      <w:t>附件4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1E163"/>
    <w:multiLevelType w:val="singleLevel"/>
    <w:tmpl w:val="A4B1E1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00A40"/>
    <w:rsid w:val="0007439F"/>
    <w:rsid w:val="0008055E"/>
    <w:rsid w:val="000B3947"/>
    <w:rsid w:val="0012026A"/>
    <w:rsid w:val="001611B8"/>
    <w:rsid w:val="001A2C7B"/>
    <w:rsid w:val="00284BDE"/>
    <w:rsid w:val="00295CDB"/>
    <w:rsid w:val="002A3E5C"/>
    <w:rsid w:val="002B54C3"/>
    <w:rsid w:val="002C3AC3"/>
    <w:rsid w:val="00323B43"/>
    <w:rsid w:val="00363928"/>
    <w:rsid w:val="00386E93"/>
    <w:rsid w:val="003A7326"/>
    <w:rsid w:val="003D37D8"/>
    <w:rsid w:val="00426133"/>
    <w:rsid w:val="004358AB"/>
    <w:rsid w:val="004A1922"/>
    <w:rsid w:val="004D37FE"/>
    <w:rsid w:val="00607BC7"/>
    <w:rsid w:val="00621282"/>
    <w:rsid w:val="006464AF"/>
    <w:rsid w:val="006A1952"/>
    <w:rsid w:val="006D1446"/>
    <w:rsid w:val="006F0FA3"/>
    <w:rsid w:val="006F426A"/>
    <w:rsid w:val="0071792C"/>
    <w:rsid w:val="007243F2"/>
    <w:rsid w:val="0073658C"/>
    <w:rsid w:val="00744127"/>
    <w:rsid w:val="0077684C"/>
    <w:rsid w:val="007D3F62"/>
    <w:rsid w:val="00800509"/>
    <w:rsid w:val="00804F8E"/>
    <w:rsid w:val="0087580F"/>
    <w:rsid w:val="0088793B"/>
    <w:rsid w:val="008973E6"/>
    <w:rsid w:val="008B3854"/>
    <w:rsid w:val="008B7726"/>
    <w:rsid w:val="00946CEA"/>
    <w:rsid w:val="00983FAE"/>
    <w:rsid w:val="009A0EC7"/>
    <w:rsid w:val="009C059A"/>
    <w:rsid w:val="009E7795"/>
    <w:rsid w:val="00A02D00"/>
    <w:rsid w:val="00B66834"/>
    <w:rsid w:val="00B90C80"/>
    <w:rsid w:val="00BB780C"/>
    <w:rsid w:val="00BC078D"/>
    <w:rsid w:val="00BC0E1F"/>
    <w:rsid w:val="00BE5030"/>
    <w:rsid w:val="00C1153B"/>
    <w:rsid w:val="00C45CBB"/>
    <w:rsid w:val="00C52EBF"/>
    <w:rsid w:val="00D2289A"/>
    <w:rsid w:val="00D31D50"/>
    <w:rsid w:val="00D41036"/>
    <w:rsid w:val="00D745BC"/>
    <w:rsid w:val="00DD1CAB"/>
    <w:rsid w:val="00DD430B"/>
    <w:rsid w:val="00DD4E21"/>
    <w:rsid w:val="00DF1549"/>
    <w:rsid w:val="00E023C0"/>
    <w:rsid w:val="00E054AA"/>
    <w:rsid w:val="00E5073B"/>
    <w:rsid w:val="00E90928"/>
    <w:rsid w:val="00EC650A"/>
    <w:rsid w:val="00ED0551"/>
    <w:rsid w:val="00F447A7"/>
    <w:rsid w:val="00F560B5"/>
    <w:rsid w:val="00F924BB"/>
    <w:rsid w:val="00FA14A7"/>
    <w:rsid w:val="00FF1AFC"/>
    <w:rsid w:val="037A726C"/>
    <w:rsid w:val="116A2732"/>
    <w:rsid w:val="2DA34D34"/>
    <w:rsid w:val="406814FE"/>
    <w:rsid w:val="69606D3A"/>
    <w:rsid w:val="70F5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val="0"/>
      <w:adjustRightInd/>
      <w:snapToGrid/>
      <w:spacing w:after="0"/>
    </w:pPr>
    <w:rPr>
      <w:rFonts w:ascii="Calibri" w:hAnsi="Calibri" w:eastAsia="宋体" w:cs="Times New Roman"/>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character" w:customStyle="1" w:styleId="10">
    <w:name w:val="bjh-p"/>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490</Words>
  <Characters>2796</Characters>
  <Lines>23</Lines>
  <Paragraphs>6</Paragraphs>
  <TotalTime>1</TotalTime>
  <ScaleCrop>false</ScaleCrop>
  <LinksUpToDate>false</LinksUpToDate>
  <CharactersWithSpaces>3280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peiyiguo</dc:creator>
  <cp:lastModifiedBy>以太古</cp:lastModifiedBy>
  <cp:lastPrinted>2019-10-22T07:34:12Z</cp:lastPrinted>
  <dcterms:modified xsi:type="dcterms:W3CDTF">2019-10-22T07:34:19Z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