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黑体" w:hAnsi="黑体" w:eastAsia="黑体" w:cs="宋体"/>
          <w:bCs/>
          <w:color w:val="000000"/>
          <w:kern w:val="36"/>
          <w:sz w:val="44"/>
          <w:szCs w:val="44"/>
        </w:rPr>
      </w:pPr>
      <w:r>
        <w:rPr>
          <w:rFonts w:hint="eastAsia" w:ascii="黑体" w:hAnsi="黑体" w:eastAsia="黑体" w:cs="宋体"/>
          <w:bCs/>
          <w:color w:val="000000"/>
          <w:kern w:val="36"/>
          <w:sz w:val="44"/>
          <w:szCs w:val="44"/>
          <w:lang w:eastAsia="zh-CN"/>
        </w:rPr>
        <w:t>明水</w:t>
      </w:r>
      <w:r>
        <w:rPr>
          <w:rFonts w:hint="eastAsia" w:ascii="黑体" w:hAnsi="黑体" w:eastAsia="黑体" w:cs="宋体"/>
          <w:bCs/>
          <w:color w:val="000000"/>
          <w:kern w:val="36"/>
          <w:sz w:val="44"/>
          <w:szCs w:val="44"/>
        </w:rPr>
        <w:t>县</w:t>
      </w:r>
      <w:r>
        <w:rPr>
          <w:rFonts w:ascii="黑体" w:hAnsi="黑体" w:eastAsia="黑体" w:cs="宋体"/>
          <w:bCs/>
          <w:color w:val="000000"/>
          <w:kern w:val="36"/>
          <w:sz w:val="44"/>
          <w:szCs w:val="44"/>
        </w:rPr>
        <w:t>2019年度开展艰苦边远地区</w:t>
      </w:r>
    </w:p>
    <w:p>
      <w:pPr>
        <w:widowControl/>
        <w:jc w:val="center"/>
        <w:outlineLvl w:val="0"/>
        <w:rPr>
          <w:rFonts w:ascii="黑体" w:hAnsi="黑体" w:eastAsia="黑体" w:cs="宋体"/>
          <w:bCs/>
          <w:color w:val="000000"/>
          <w:kern w:val="36"/>
          <w:sz w:val="44"/>
          <w:szCs w:val="44"/>
        </w:rPr>
      </w:pPr>
      <w:r>
        <w:rPr>
          <w:rFonts w:ascii="黑体" w:hAnsi="黑体" w:eastAsia="黑体" w:cs="宋体"/>
          <w:bCs/>
          <w:color w:val="000000"/>
          <w:kern w:val="36"/>
          <w:sz w:val="44"/>
          <w:szCs w:val="44"/>
        </w:rPr>
        <w:t>全科医生特设岗位招聘计划公告</w:t>
      </w:r>
    </w:p>
    <w:p>
      <w:pPr>
        <w:widowControl/>
        <w:spacing w:line="480" w:lineRule="auto"/>
        <w:ind w:firstLine="480"/>
        <w:rPr>
          <w:rFonts w:ascii="宋体" w:hAnsi="宋体" w:eastAsia="宋体" w:cs="宋体"/>
          <w:color w:val="999999"/>
          <w:kern w:val="0"/>
          <w:sz w:val="18"/>
          <w:szCs w:val="18"/>
        </w:rPr>
      </w:pP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为贯彻落实中央和省委实施乡村振兴战略、坚决打赢脱贫攻坚战的决策部署，按照国家卫计委、财政部、人社部、中医药局、国务院医改办《关于进一步做好艰苦边远地区全科医生特设岗位计划实施工作的通知》（国卫人发〔2017〕48号）、《黑龙江省改革完善全科医生培养制度与使用激励机制实施方案》（黑政办规〔2018〕34号）和省编办、卫健委、财政厅、人社厅《关于印发黑龙江省 2019 年开展艰苦边远地区全科医生特设岗位计划实施方案的通知》（黑卫人发〔2019〕38 号）要求，切实加强我县基层全科医生队伍建设，提高基层医疗卫生机构服务能力，结合我县实际，现将有关事宜公告如下：</w:t>
      </w:r>
    </w:p>
    <w:p>
      <w:pPr>
        <w:widowControl/>
        <w:spacing w:line="600" w:lineRule="exact"/>
        <w:ind w:firstLine="640" w:firstLineChars="200"/>
        <w:rPr>
          <w:rFonts w:ascii="黑体" w:hAnsi="黑体" w:eastAsia="黑体" w:cs="宋体"/>
          <w:color w:val="444444"/>
          <w:kern w:val="0"/>
          <w:sz w:val="32"/>
          <w:szCs w:val="32"/>
        </w:rPr>
      </w:pPr>
      <w:r>
        <w:rPr>
          <w:rFonts w:hint="eastAsia" w:ascii="黑体" w:hAnsi="黑体" w:eastAsia="黑体" w:cs="宋体"/>
          <w:color w:val="444444"/>
          <w:kern w:val="0"/>
          <w:sz w:val="32"/>
          <w:szCs w:val="32"/>
        </w:rPr>
        <w:t>一、岗位设置及职责</w:t>
      </w:r>
    </w:p>
    <w:p>
      <w:pPr>
        <w:widowControl/>
        <w:spacing w:line="600" w:lineRule="exact"/>
        <w:ind w:firstLine="643" w:firstLineChars="200"/>
        <w:rPr>
          <w:rFonts w:ascii="仿宋_GB2312" w:hAnsi="微软雅黑" w:eastAsia="仿宋_GB2312" w:cs="宋体"/>
          <w:color w:val="444444"/>
          <w:kern w:val="0"/>
          <w:sz w:val="32"/>
          <w:szCs w:val="32"/>
        </w:rPr>
      </w:pPr>
      <w:r>
        <w:rPr>
          <w:rFonts w:hint="eastAsia" w:ascii="楷体_GB2312" w:hAnsi="微软雅黑" w:eastAsia="楷体_GB2312" w:cs="宋体"/>
          <w:b/>
          <w:color w:val="444444"/>
          <w:kern w:val="0"/>
          <w:sz w:val="32"/>
          <w:szCs w:val="32"/>
        </w:rPr>
        <w:t>（一）岗位设置。</w:t>
      </w:r>
      <w:r>
        <w:rPr>
          <w:rFonts w:hint="eastAsia" w:ascii="仿宋_GB2312" w:hAnsi="微软雅黑" w:eastAsia="仿宋_GB2312" w:cs="宋体"/>
          <w:color w:val="444444"/>
          <w:kern w:val="0"/>
          <w:sz w:val="32"/>
          <w:szCs w:val="32"/>
        </w:rPr>
        <w:t>2019年度特岗全科医生岗位设置在县</w:t>
      </w:r>
      <w:r>
        <w:rPr>
          <w:rFonts w:hint="eastAsia" w:ascii="仿宋_GB2312" w:hAnsi="微软雅黑" w:eastAsia="仿宋_GB2312" w:cs="宋体"/>
          <w:color w:val="444444"/>
          <w:kern w:val="0"/>
          <w:sz w:val="32"/>
          <w:szCs w:val="32"/>
          <w:lang w:eastAsia="zh-CN"/>
        </w:rPr>
        <w:t>二</w:t>
      </w:r>
      <w:r>
        <w:rPr>
          <w:rFonts w:hint="eastAsia" w:ascii="仿宋_GB2312" w:hAnsi="微软雅黑" w:eastAsia="仿宋_GB2312" w:cs="宋体"/>
          <w:color w:val="444444"/>
          <w:kern w:val="0"/>
          <w:sz w:val="32"/>
          <w:szCs w:val="32"/>
        </w:rPr>
        <w:t xml:space="preserve">医院，专门用于聘用派驻乡镇卫生院工作。全科医生特设岗位不受县级公立医疗机构岗位总量、最高等级和结构比例的限制。             </w:t>
      </w:r>
    </w:p>
    <w:p>
      <w:pPr>
        <w:widowControl/>
        <w:spacing w:line="600" w:lineRule="exact"/>
        <w:ind w:firstLine="643" w:firstLineChars="200"/>
        <w:rPr>
          <w:rFonts w:ascii="仿宋_GB2312" w:hAnsi="微软雅黑" w:eastAsia="仿宋_GB2312" w:cs="宋体"/>
          <w:color w:val="444444"/>
          <w:kern w:val="0"/>
          <w:sz w:val="32"/>
          <w:szCs w:val="32"/>
        </w:rPr>
      </w:pPr>
      <w:r>
        <w:rPr>
          <w:rFonts w:hint="eastAsia" w:ascii="楷体_GB2312" w:hAnsi="微软雅黑" w:eastAsia="楷体_GB2312" w:cs="宋体"/>
          <w:b/>
          <w:color w:val="444444"/>
          <w:kern w:val="0"/>
          <w:sz w:val="32"/>
          <w:szCs w:val="32"/>
        </w:rPr>
        <w:t>（二）岗位职责。</w:t>
      </w:r>
      <w:r>
        <w:rPr>
          <w:rFonts w:hint="eastAsia" w:ascii="仿宋_GB2312" w:hAnsi="微软雅黑" w:eastAsia="仿宋_GB2312" w:cs="宋体"/>
          <w:color w:val="444444"/>
          <w:kern w:val="0"/>
          <w:sz w:val="32"/>
          <w:szCs w:val="32"/>
        </w:rPr>
        <w:t>特岗全科医生应当按服务对象实际需求履行以下职责：</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1.承担预防保健、常见病和多发病的诊疗、病人康复与慢性病管理、健康教育与管理等连续性、综合性、一体化服务。</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2.承担专科疾病的识别、转诊以及危重情况的应急处理任务。</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3.作为全科医生团队的领头人，帮助和指导团队其他医务人员提高业务水平组织开展家庭医生签约服务工作。</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4.执行基本医疗保险管理服务要求，按照医疗服务质量管理与控制指标的要求，为参保人员提供合理检查、合理治疗、合理用药服务。</w:t>
      </w:r>
    </w:p>
    <w:p>
      <w:pPr>
        <w:widowControl/>
        <w:spacing w:line="600" w:lineRule="exact"/>
        <w:ind w:firstLine="640" w:firstLineChars="200"/>
        <w:rPr>
          <w:rFonts w:ascii="黑体" w:hAnsi="黑体" w:eastAsia="黑体" w:cs="宋体"/>
          <w:color w:val="444444"/>
          <w:kern w:val="0"/>
          <w:sz w:val="32"/>
          <w:szCs w:val="32"/>
        </w:rPr>
      </w:pPr>
      <w:r>
        <w:rPr>
          <w:rFonts w:hint="eastAsia" w:ascii="黑体" w:hAnsi="黑体" w:eastAsia="黑体" w:cs="宋体"/>
          <w:color w:val="444444"/>
          <w:kern w:val="0"/>
          <w:sz w:val="32"/>
          <w:szCs w:val="32"/>
        </w:rPr>
        <w:t>二、人员招聘</w:t>
      </w:r>
    </w:p>
    <w:p>
      <w:pPr>
        <w:widowControl/>
        <w:spacing w:line="600" w:lineRule="exact"/>
        <w:ind w:firstLine="643" w:firstLineChars="200"/>
        <w:rPr>
          <w:rFonts w:ascii="楷体_GB2312" w:hAnsi="微软雅黑" w:eastAsia="楷体_GB2312" w:cs="宋体"/>
          <w:b/>
          <w:color w:val="444444"/>
          <w:kern w:val="0"/>
          <w:sz w:val="32"/>
          <w:szCs w:val="32"/>
        </w:rPr>
      </w:pPr>
      <w:r>
        <w:rPr>
          <w:rFonts w:hint="eastAsia" w:ascii="楷体_GB2312" w:hAnsi="微软雅黑" w:eastAsia="楷体_GB2312" w:cs="宋体"/>
          <w:b/>
          <w:color w:val="444444"/>
          <w:kern w:val="0"/>
          <w:sz w:val="32"/>
          <w:szCs w:val="32"/>
        </w:rPr>
        <w:t>（一）招聘计划。</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lang w:eastAsia="zh-CN"/>
        </w:rPr>
        <w:t>明水</w:t>
      </w:r>
      <w:r>
        <w:rPr>
          <w:rFonts w:hint="eastAsia" w:ascii="仿宋_GB2312" w:hAnsi="微软雅黑" w:eastAsia="仿宋_GB2312" w:cs="宋体"/>
          <w:color w:val="444444"/>
          <w:kern w:val="0"/>
          <w:sz w:val="32"/>
          <w:szCs w:val="32"/>
        </w:rPr>
        <w:t>县2019年度全科医生特岗计划招聘5名，拟分别服务于</w:t>
      </w:r>
      <w:r>
        <w:rPr>
          <w:rFonts w:hint="eastAsia" w:ascii="仿宋_GB2312" w:hAnsi="微软雅黑" w:eastAsia="仿宋_GB2312" w:cs="宋体"/>
          <w:color w:val="444444"/>
          <w:kern w:val="0"/>
          <w:sz w:val="32"/>
          <w:szCs w:val="32"/>
          <w:lang w:eastAsia="zh-CN"/>
        </w:rPr>
        <w:t>永兴镇</w:t>
      </w:r>
      <w:r>
        <w:rPr>
          <w:rFonts w:hint="eastAsia" w:ascii="仿宋_GB2312" w:hAnsi="微软雅黑" w:eastAsia="仿宋_GB2312" w:cs="宋体"/>
          <w:color w:val="444444"/>
          <w:kern w:val="0"/>
          <w:sz w:val="32"/>
          <w:szCs w:val="32"/>
        </w:rPr>
        <w:t>卫生院、</w:t>
      </w:r>
      <w:r>
        <w:rPr>
          <w:rFonts w:hint="eastAsia" w:ascii="仿宋_GB2312" w:hAnsi="微软雅黑" w:eastAsia="仿宋_GB2312" w:cs="宋体"/>
          <w:color w:val="444444"/>
          <w:kern w:val="0"/>
          <w:sz w:val="32"/>
          <w:szCs w:val="32"/>
          <w:lang w:eastAsia="zh-CN"/>
        </w:rPr>
        <w:t>崇德镇</w:t>
      </w:r>
      <w:r>
        <w:rPr>
          <w:rFonts w:hint="eastAsia" w:ascii="仿宋_GB2312" w:hAnsi="微软雅黑" w:eastAsia="仿宋_GB2312" w:cs="宋体"/>
          <w:color w:val="444444"/>
          <w:kern w:val="0"/>
          <w:sz w:val="32"/>
          <w:szCs w:val="32"/>
        </w:rPr>
        <w:t>卫生院、</w:t>
      </w:r>
      <w:r>
        <w:rPr>
          <w:rFonts w:hint="eastAsia" w:ascii="仿宋_GB2312" w:hAnsi="微软雅黑" w:eastAsia="仿宋_GB2312" w:cs="宋体"/>
          <w:color w:val="444444"/>
          <w:kern w:val="0"/>
          <w:sz w:val="32"/>
          <w:szCs w:val="32"/>
          <w:lang w:eastAsia="zh-CN"/>
        </w:rPr>
        <w:t>双兴乡</w:t>
      </w:r>
      <w:r>
        <w:rPr>
          <w:rFonts w:hint="eastAsia" w:ascii="仿宋_GB2312" w:hAnsi="微软雅黑" w:eastAsia="仿宋_GB2312" w:cs="宋体"/>
          <w:color w:val="444444"/>
          <w:kern w:val="0"/>
          <w:sz w:val="32"/>
          <w:szCs w:val="32"/>
        </w:rPr>
        <w:t>镇卫生院、</w:t>
      </w:r>
      <w:r>
        <w:rPr>
          <w:rFonts w:hint="eastAsia" w:ascii="仿宋_GB2312" w:hAnsi="微软雅黑" w:eastAsia="仿宋_GB2312" w:cs="宋体"/>
          <w:color w:val="444444"/>
          <w:kern w:val="0"/>
          <w:sz w:val="32"/>
          <w:szCs w:val="32"/>
          <w:lang w:eastAsia="zh-CN"/>
        </w:rPr>
        <w:t>永久乡</w:t>
      </w:r>
      <w:r>
        <w:rPr>
          <w:rFonts w:hint="eastAsia" w:ascii="仿宋_GB2312" w:hAnsi="微软雅黑" w:eastAsia="仿宋_GB2312" w:cs="宋体"/>
          <w:color w:val="444444"/>
          <w:kern w:val="0"/>
          <w:sz w:val="32"/>
          <w:szCs w:val="32"/>
        </w:rPr>
        <w:t>卫生院和</w:t>
      </w:r>
      <w:r>
        <w:rPr>
          <w:rFonts w:hint="eastAsia" w:ascii="仿宋_GB2312" w:hAnsi="微软雅黑" w:eastAsia="仿宋_GB2312" w:cs="宋体"/>
          <w:color w:val="444444"/>
          <w:kern w:val="0"/>
          <w:sz w:val="32"/>
          <w:szCs w:val="32"/>
          <w:lang w:eastAsia="zh-CN"/>
        </w:rPr>
        <w:t>通达镇</w:t>
      </w:r>
      <w:r>
        <w:rPr>
          <w:rFonts w:hint="eastAsia" w:ascii="仿宋_GB2312" w:hAnsi="微软雅黑" w:eastAsia="仿宋_GB2312" w:cs="宋体"/>
          <w:color w:val="444444"/>
          <w:kern w:val="0"/>
          <w:sz w:val="32"/>
          <w:szCs w:val="32"/>
        </w:rPr>
        <w:t>卫生院。</w:t>
      </w:r>
    </w:p>
    <w:p>
      <w:pPr>
        <w:widowControl/>
        <w:spacing w:line="600" w:lineRule="exact"/>
        <w:ind w:firstLine="643" w:firstLineChars="200"/>
        <w:rPr>
          <w:rFonts w:ascii="楷体_GB2312" w:hAnsi="微软雅黑" w:eastAsia="楷体_GB2312" w:cs="宋体"/>
          <w:b/>
          <w:color w:val="444444"/>
          <w:kern w:val="0"/>
          <w:sz w:val="32"/>
          <w:szCs w:val="32"/>
        </w:rPr>
      </w:pPr>
      <w:r>
        <w:rPr>
          <w:rFonts w:hint="eastAsia" w:ascii="楷体_GB2312" w:hAnsi="微软雅黑" w:eastAsia="楷体_GB2312" w:cs="宋体"/>
          <w:b/>
          <w:color w:val="444444"/>
          <w:kern w:val="0"/>
          <w:sz w:val="32"/>
          <w:szCs w:val="32"/>
        </w:rPr>
        <w:t>（二）招聘范围。</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1.面向全国招聘；</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2.鼓励各级医疗机构符合条件的编制外聘用和退休的医务人员积极报考。</w:t>
      </w:r>
    </w:p>
    <w:p>
      <w:pPr>
        <w:widowControl/>
        <w:spacing w:line="600" w:lineRule="exact"/>
        <w:ind w:firstLine="643" w:firstLineChars="200"/>
        <w:rPr>
          <w:rFonts w:ascii="楷体_GB2312" w:hAnsi="微软雅黑" w:eastAsia="楷体_GB2312" w:cs="宋体"/>
          <w:b/>
          <w:color w:val="444444"/>
          <w:kern w:val="0"/>
          <w:sz w:val="32"/>
          <w:szCs w:val="32"/>
        </w:rPr>
      </w:pPr>
      <w:r>
        <w:rPr>
          <w:rFonts w:hint="eastAsia" w:ascii="楷体_GB2312" w:hAnsi="微软雅黑" w:eastAsia="楷体_GB2312" w:cs="宋体"/>
          <w:b/>
          <w:color w:val="444444"/>
          <w:kern w:val="0"/>
          <w:sz w:val="32"/>
          <w:szCs w:val="32"/>
        </w:rPr>
        <w:t>（三）招聘条件。</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特岗全科医生应当满足下列条件之一：</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1.具有执业医师资格，执业范围注册为临床类别全科医学专业或中医类别全科医学专业的医务人员；</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2.具有执业医师资格，经过省级卫生健康行政部门（含中医药管理部门）认可的全科医生规范化培养、转岗培训并考核合格的医务人员；</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3.具有执业医师资格，具有2年以上从事临床诊疗工作能够胜任全科医生岗位的医务人员；</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4.经过助理全科医生培训合格的全科执业助理医师；</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由县级医疗卫生机构派驻到乡镇卫生院工作的原单位在职全科医生，不列入中央财政和市县财政支持的特岗全科医生范畴。</w:t>
      </w:r>
    </w:p>
    <w:p>
      <w:pPr>
        <w:widowControl/>
        <w:spacing w:line="600" w:lineRule="exact"/>
        <w:ind w:firstLine="643" w:firstLineChars="200"/>
        <w:rPr>
          <w:rFonts w:ascii="楷体_GB2312" w:hAnsi="微软雅黑" w:eastAsia="楷体_GB2312" w:cs="宋体"/>
          <w:b/>
          <w:color w:val="444444"/>
          <w:kern w:val="0"/>
          <w:sz w:val="32"/>
          <w:szCs w:val="32"/>
        </w:rPr>
      </w:pPr>
      <w:r>
        <w:rPr>
          <w:rFonts w:hint="eastAsia" w:ascii="楷体_GB2312" w:hAnsi="微软雅黑" w:eastAsia="楷体_GB2312" w:cs="宋体"/>
          <w:b/>
          <w:color w:val="444444"/>
          <w:kern w:val="0"/>
          <w:sz w:val="32"/>
          <w:szCs w:val="32"/>
        </w:rPr>
        <w:t>（四）招聘程序和办法。</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市级卫生健康委、人力资源和社会保障局负责具体指导和督促、协调工作，推动项目实施。县级卫生健康局、人力资源和社会保障局、财政局负责制定并实施县域内全科特岗医生工作方案，负责本地全科医生特岗招聘人员报名、资格初审、考核考察等工作，并报市卫生健康委审定，省卫生健康委备案。</w:t>
      </w:r>
    </w:p>
    <w:p>
      <w:pPr>
        <w:widowControl/>
        <w:spacing w:line="600" w:lineRule="exact"/>
        <w:ind w:firstLine="643" w:firstLineChars="200"/>
        <w:rPr>
          <w:rFonts w:ascii="仿宋_GB2312" w:hAnsi="微软雅黑" w:eastAsia="仿宋_GB2312" w:cs="宋体"/>
          <w:color w:val="444444"/>
          <w:kern w:val="0"/>
          <w:sz w:val="32"/>
          <w:szCs w:val="32"/>
        </w:rPr>
      </w:pPr>
      <w:r>
        <w:rPr>
          <w:rFonts w:hint="eastAsia" w:ascii="仿宋_GB2312" w:hAnsi="微软雅黑" w:eastAsia="仿宋_GB2312" w:cs="宋体"/>
          <w:b/>
          <w:color w:val="444444"/>
          <w:kern w:val="0"/>
          <w:sz w:val="32"/>
          <w:szCs w:val="32"/>
        </w:rPr>
        <w:t>1.公布需求。</w:t>
      </w:r>
      <w:r>
        <w:rPr>
          <w:rFonts w:hint="eastAsia" w:ascii="仿宋_GB2312" w:hAnsi="微软雅黑" w:eastAsia="仿宋_GB2312" w:cs="宋体"/>
          <w:color w:val="444444"/>
          <w:kern w:val="0"/>
          <w:sz w:val="32"/>
          <w:szCs w:val="32"/>
        </w:rPr>
        <w:t>市卫健委、市人社局发布《黑龙江省绥化市2019年度开展艰苦边远地区全科医生特设岗位招聘计划公告》，同时县卫生健康局在政府网站发布招聘公告，公布招聘时间、步骤等具体信息，报名人员可通过县政府网站查询。</w:t>
      </w:r>
    </w:p>
    <w:p>
      <w:pPr>
        <w:widowControl/>
        <w:spacing w:line="600" w:lineRule="exact"/>
        <w:ind w:firstLine="643" w:firstLineChars="200"/>
        <w:rPr>
          <w:rFonts w:ascii="仿宋_GB2312" w:hAnsi="微软雅黑" w:eastAsia="仿宋_GB2312" w:cs="宋体"/>
          <w:color w:val="444444"/>
          <w:kern w:val="0"/>
          <w:sz w:val="32"/>
          <w:szCs w:val="32"/>
        </w:rPr>
      </w:pPr>
      <w:r>
        <w:rPr>
          <w:rFonts w:hint="eastAsia" w:ascii="仿宋_GB2312" w:hAnsi="微软雅黑" w:eastAsia="仿宋_GB2312" w:cs="宋体"/>
          <w:b/>
          <w:color w:val="444444"/>
          <w:kern w:val="0"/>
          <w:sz w:val="32"/>
          <w:szCs w:val="32"/>
        </w:rPr>
        <w:t>2.考试考察。</w:t>
      </w:r>
      <w:r>
        <w:rPr>
          <w:rFonts w:hint="eastAsia" w:ascii="仿宋_GB2312" w:hAnsi="微软雅黑" w:eastAsia="仿宋_GB2312" w:cs="宋体"/>
          <w:color w:val="444444"/>
          <w:kern w:val="0"/>
          <w:sz w:val="32"/>
          <w:szCs w:val="32"/>
        </w:rPr>
        <w:t>根据报考人数和专业分布等实际情况适当降低开考比例或不设开考比例。</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由县卫生健康局会同人社等有关部门组织考试、考察，可以根据实际情况采取面试、组织考察等方式，按照竞争择优的原则确定岗位人选。考试、考察主要考核应聘人员的专业知识、临床实践能力和综合素质；对应聘前无工作单位的医务人员，主要考核应聘人员的临床实践能力等。</w:t>
      </w:r>
    </w:p>
    <w:p>
      <w:pPr>
        <w:spacing w:line="600" w:lineRule="exact"/>
        <w:ind w:firstLine="643" w:firstLineChars="200"/>
        <w:rPr>
          <w:rFonts w:ascii="仿宋_GB2312" w:eastAsia="仿宋_GB2312"/>
          <w:kern w:val="0"/>
          <w:sz w:val="32"/>
          <w:szCs w:val="32"/>
        </w:rPr>
      </w:pPr>
      <w:r>
        <w:rPr>
          <w:rFonts w:hint="eastAsia" w:ascii="仿宋_GB2312" w:eastAsia="仿宋_GB2312"/>
          <w:b/>
          <w:kern w:val="0"/>
          <w:sz w:val="32"/>
          <w:szCs w:val="32"/>
        </w:rPr>
        <w:t>3.组织体检</w:t>
      </w:r>
      <w:r>
        <w:rPr>
          <w:rFonts w:hint="eastAsia" w:ascii="仿宋_GB2312" w:eastAsia="仿宋_GB2312"/>
          <w:kern w:val="0"/>
          <w:sz w:val="32"/>
          <w:szCs w:val="32"/>
        </w:rPr>
        <w:t>。对考察合格的人员进行体检，体检参照公务员体检项目和标准，由卫健局统一组织到县人民医院进行。根据考试考察结果，按照1:1的比例由高分到低分确定进入体检人选，体检参照公务员体检办法确定体检内容，出现体检不合格的依次递补体检人员。</w:t>
      </w:r>
    </w:p>
    <w:p>
      <w:pPr>
        <w:widowControl/>
        <w:spacing w:line="600" w:lineRule="exact"/>
        <w:ind w:firstLine="643" w:firstLineChars="200"/>
        <w:rPr>
          <w:rFonts w:ascii="仿宋_GB2312" w:hAnsi="微软雅黑" w:eastAsia="仿宋_GB2312" w:cs="宋体"/>
          <w:color w:val="444444"/>
          <w:kern w:val="0"/>
          <w:sz w:val="32"/>
          <w:szCs w:val="32"/>
        </w:rPr>
      </w:pPr>
      <w:r>
        <w:rPr>
          <w:rFonts w:hint="eastAsia" w:ascii="仿宋_GB2312" w:hAnsi="微软雅黑" w:eastAsia="仿宋_GB2312" w:cs="宋体"/>
          <w:b/>
          <w:color w:val="444444"/>
          <w:kern w:val="0"/>
          <w:sz w:val="32"/>
          <w:szCs w:val="32"/>
        </w:rPr>
        <w:t>4.公示聘用。</w:t>
      </w:r>
      <w:r>
        <w:rPr>
          <w:rFonts w:hint="eastAsia" w:ascii="仿宋_GB2312" w:hAnsi="微软雅黑" w:eastAsia="仿宋_GB2312" w:cs="宋体"/>
          <w:color w:val="444444"/>
          <w:kern w:val="0"/>
          <w:sz w:val="32"/>
          <w:szCs w:val="32"/>
        </w:rPr>
        <w:t>根据考试、考察和体检结果，择优确定拟聘用人员，市卫生健康委、市人社局负责资格复审。由市、县两级卫生健康部门同时在政府网站进行公示，公示期为7个工作日。公示无异议的履行聘用手续。</w:t>
      </w:r>
    </w:p>
    <w:p>
      <w:pPr>
        <w:widowControl/>
        <w:spacing w:line="600" w:lineRule="exact"/>
        <w:ind w:firstLine="643" w:firstLineChars="200"/>
        <w:rPr>
          <w:rFonts w:ascii="仿宋_GB2312" w:hAnsi="微软雅黑" w:eastAsia="仿宋_GB2312" w:cs="宋体"/>
          <w:color w:val="444444"/>
          <w:kern w:val="0"/>
          <w:sz w:val="32"/>
          <w:szCs w:val="32"/>
        </w:rPr>
      </w:pPr>
      <w:r>
        <w:rPr>
          <w:rFonts w:hint="eastAsia" w:ascii="仿宋_GB2312" w:hAnsi="微软雅黑" w:eastAsia="仿宋_GB2312" w:cs="宋体"/>
          <w:b/>
          <w:color w:val="444444"/>
          <w:kern w:val="0"/>
          <w:sz w:val="32"/>
          <w:szCs w:val="32"/>
        </w:rPr>
        <w:t>5.岗位培训。</w:t>
      </w:r>
      <w:r>
        <w:rPr>
          <w:rFonts w:hint="eastAsia" w:ascii="仿宋_GB2312" w:hAnsi="微软雅黑" w:eastAsia="仿宋_GB2312" w:cs="宋体"/>
          <w:color w:val="444444"/>
          <w:kern w:val="0"/>
          <w:sz w:val="32"/>
          <w:szCs w:val="32"/>
        </w:rPr>
        <w:t>省卫生健康委负责组织安排未参加过全科医学知识培训的人员进行岗位培训。</w:t>
      </w:r>
    </w:p>
    <w:p>
      <w:pPr>
        <w:widowControl/>
        <w:spacing w:line="600" w:lineRule="exact"/>
        <w:ind w:firstLine="640" w:firstLineChars="200"/>
        <w:rPr>
          <w:rFonts w:ascii="黑体" w:hAnsi="黑体" w:eastAsia="黑体" w:cs="宋体"/>
          <w:color w:val="444444"/>
          <w:kern w:val="0"/>
          <w:sz w:val="32"/>
          <w:szCs w:val="32"/>
        </w:rPr>
      </w:pPr>
      <w:r>
        <w:rPr>
          <w:rFonts w:hint="eastAsia" w:ascii="黑体" w:hAnsi="黑体" w:eastAsia="黑体" w:cs="宋体"/>
          <w:color w:val="444444"/>
          <w:kern w:val="0"/>
          <w:sz w:val="32"/>
          <w:szCs w:val="32"/>
        </w:rPr>
        <w:t>三、人员管理</w:t>
      </w:r>
    </w:p>
    <w:p>
      <w:pPr>
        <w:widowControl/>
        <w:spacing w:line="600" w:lineRule="exact"/>
        <w:ind w:firstLine="643" w:firstLineChars="200"/>
        <w:rPr>
          <w:rFonts w:ascii="仿宋_GB2312" w:hAnsi="微软雅黑" w:eastAsia="仿宋_GB2312" w:cs="宋体"/>
          <w:color w:val="444444"/>
          <w:kern w:val="0"/>
          <w:sz w:val="32"/>
          <w:szCs w:val="32"/>
        </w:rPr>
      </w:pPr>
      <w:r>
        <w:rPr>
          <w:rFonts w:hint="eastAsia" w:ascii="楷体_GB2312" w:hAnsi="微软雅黑" w:eastAsia="楷体_GB2312" w:cs="宋体"/>
          <w:b/>
          <w:color w:val="444444"/>
          <w:kern w:val="0"/>
          <w:sz w:val="32"/>
          <w:szCs w:val="32"/>
        </w:rPr>
        <w:t>（一）签定合同。</w:t>
      </w:r>
      <w:r>
        <w:rPr>
          <w:rFonts w:hint="eastAsia" w:ascii="仿宋_GB2312" w:hAnsi="微软雅黑" w:eastAsia="仿宋_GB2312" w:cs="宋体"/>
          <w:color w:val="444444"/>
          <w:kern w:val="0"/>
          <w:sz w:val="32"/>
          <w:szCs w:val="32"/>
        </w:rPr>
        <w:t>设置全科医生特设岗位的县级公立医疗机构应当按照《事业单位人事管理条例》及有关规定，与特岗全科医生签订聘用合同，聘期4年，合同中应当明确双方的权利和义务。</w:t>
      </w:r>
    </w:p>
    <w:p>
      <w:pPr>
        <w:widowControl/>
        <w:spacing w:line="600" w:lineRule="exact"/>
        <w:ind w:firstLine="643" w:firstLineChars="200"/>
        <w:rPr>
          <w:rFonts w:ascii="仿宋_GB2312" w:hAnsi="微软雅黑" w:eastAsia="仿宋_GB2312" w:cs="宋体"/>
          <w:color w:val="444444"/>
          <w:kern w:val="0"/>
          <w:sz w:val="32"/>
          <w:szCs w:val="32"/>
        </w:rPr>
      </w:pPr>
      <w:r>
        <w:rPr>
          <w:rFonts w:hint="eastAsia" w:ascii="楷体_GB2312" w:hAnsi="微软雅黑" w:eastAsia="楷体_GB2312" w:cs="宋体"/>
          <w:b/>
          <w:color w:val="444444"/>
          <w:kern w:val="0"/>
          <w:sz w:val="32"/>
          <w:szCs w:val="32"/>
        </w:rPr>
        <w:t>（二）考核管理。</w:t>
      </w:r>
      <w:r>
        <w:rPr>
          <w:rFonts w:hint="eastAsia" w:ascii="仿宋_GB2312" w:hAnsi="微软雅黑" w:eastAsia="仿宋_GB2312" w:cs="宋体"/>
          <w:color w:val="444444"/>
          <w:kern w:val="0"/>
          <w:sz w:val="32"/>
          <w:szCs w:val="32"/>
        </w:rPr>
        <w:t>县级公立医疗机构应当根据聘用合同确定的岗位职责任务和工作标准，在听取服务对象意见和评价的基础上，强化对特岗全科医生的年度考核。</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乡镇卫生院要设立全科医疗科，或在内科、中医科增设全科岗位，搭建工作平台，鼓励特岗全科医生开展家庭医生签约服务，均衡考虑特岗全科与公共卫生工作量，加大临床工作量，做好特岗全科医生日常管理和绩效考评，并定期通报县级公立医疗机构。对成绩突出、考核优秀者在绩效工资分配时予以倾斜；对考核不合格者，应当按照规定调整工作岗位，直至解除聘用合同。</w:t>
      </w:r>
    </w:p>
    <w:p>
      <w:pPr>
        <w:widowControl/>
        <w:spacing w:line="600" w:lineRule="exact"/>
        <w:ind w:firstLine="480"/>
        <w:rPr>
          <w:rFonts w:ascii="仿宋_GB2312" w:hAnsi="微软雅黑" w:eastAsia="仿宋_GB2312" w:cs="宋体"/>
          <w:color w:val="444444"/>
          <w:kern w:val="0"/>
          <w:sz w:val="32"/>
          <w:szCs w:val="32"/>
        </w:rPr>
      </w:pPr>
      <w:r>
        <w:rPr>
          <w:rFonts w:hint="eastAsia" w:ascii="楷体_GB2312" w:hAnsi="微软雅黑" w:eastAsia="楷体_GB2312" w:cs="宋体"/>
          <w:b/>
          <w:color w:val="444444"/>
          <w:kern w:val="0"/>
          <w:sz w:val="32"/>
          <w:szCs w:val="32"/>
        </w:rPr>
        <w:t>（三）执业注册管理。</w:t>
      </w:r>
      <w:r>
        <w:rPr>
          <w:rFonts w:hint="eastAsia" w:ascii="仿宋_GB2312" w:hAnsi="微软雅黑" w:eastAsia="仿宋_GB2312" w:cs="宋体"/>
          <w:color w:val="444444"/>
          <w:kern w:val="0"/>
          <w:sz w:val="32"/>
          <w:szCs w:val="32"/>
        </w:rPr>
        <w:t>特岗全科医生上岗前必须注册为全科医师，由服务的乡镇卫生院按规定办理医师执业注册或变更手续。</w:t>
      </w:r>
    </w:p>
    <w:p>
      <w:pPr>
        <w:widowControl/>
        <w:spacing w:line="600" w:lineRule="exact"/>
        <w:ind w:firstLine="480"/>
        <w:rPr>
          <w:rFonts w:ascii="仿宋_GB2312" w:hAnsi="微软雅黑" w:eastAsia="仿宋_GB2312" w:cs="宋体"/>
          <w:color w:val="444444"/>
          <w:kern w:val="0"/>
          <w:sz w:val="32"/>
          <w:szCs w:val="32"/>
        </w:rPr>
      </w:pPr>
      <w:r>
        <w:rPr>
          <w:rFonts w:hint="eastAsia" w:ascii="楷体_GB2312" w:hAnsi="微软雅黑" w:eastAsia="楷体_GB2312" w:cs="宋体"/>
          <w:b/>
          <w:color w:val="444444"/>
          <w:kern w:val="0"/>
          <w:sz w:val="32"/>
          <w:szCs w:val="32"/>
        </w:rPr>
        <w:t>（四）户籍、人事和党团关系。</w:t>
      </w:r>
      <w:r>
        <w:rPr>
          <w:rFonts w:hint="eastAsia" w:ascii="仿宋_GB2312" w:hAnsi="微软雅黑" w:eastAsia="仿宋_GB2312" w:cs="宋体"/>
          <w:color w:val="444444"/>
          <w:kern w:val="0"/>
          <w:sz w:val="32"/>
          <w:szCs w:val="32"/>
        </w:rPr>
        <w:t>聘期内户口可按照国家有关规定保留在原户籍所在地或原单位管理，人事档案按照县级公立医疗机构工作人员统一管理。党团关系转至服务所在单位。</w:t>
      </w:r>
    </w:p>
    <w:p>
      <w:pPr>
        <w:widowControl/>
        <w:spacing w:line="600" w:lineRule="exact"/>
        <w:ind w:firstLine="640" w:firstLineChars="200"/>
        <w:rPr>
          <w:rFonts w:ascii="黑体" w:hAnsi="黑体" w:eastAsia="黑体" w:cs="宋体"/>
          <w:color w:val="444444"/>
          <w:kern w:val="0"/>
          <w:sz w:val="32"/>
          <w:szCs w:val="32"/>
        </w:rPr>
      </w:pPr>
      <w:r>
        <w:rPr>
          <w:rFonts w:hint="eastAsia" w:ascii="黑体" w:hAnsi="黑体" w:eastAsia="黑体" w:cs="宋体"/>
          <w:color w:val="444444"/>
          <w:kern w:val="0"/>
          <w:sz w:val="32"/>
          <w:szCs w:val="32"/>
        </w:rPr>
        <w:t>四、激励与保障</w:t>
      </w:r>
    </w:p>
    <w:p>
      <w:pPr>
        <w:widowControl/>
        <w:spacing w:line="600" w:lineRule="exact"/>
        <w:ind w:firstLine="643" w:firstLineChars="200"/>
        <w:rPr>
          <w:rFonts w:ascii="仿宋_GB2312" w:hAnsi="微软雅黑" w:eastAsia="仿宋_GB2312" w:cs="宋体"/>
          <w:color w:val="444444"/>
          <w:kern w:val="0"/>
          <w:sz w:val="32"/>
          <w:szCs w:val="32"/>
        </w:rPr>
      </w:pPr>
      <w:r>
        <w:rPr>
          <w:rFonts w:hint="eastAsia" w:ascii="楷体_GB2312" w:hAnsi="微软雅黑" w:eastAsia="楷体_GB2312" w:cs="宋体"/>
          <w:b/>
          <w:color w:val="444444"/>
          <w:kern w:val="0"/>
          <w:sz w:val="32"/>
          <w:szCs w:val="32"/>
        </w:rPr>
        <w:t>（一）薪酬待遇。</w:t>
      </w:r>
      <w:r>
        <w:rPr>
          <w:rFonts w:hint="eastAsia" w:ascii="仿宋_GB2312" w:hAnsi="微软雅黑" w:eastAsia="仿宋_GB2312" w:cs="宋体"/>
          <w:color w:val="444444"/>
          <w:kern w:val="0"/>
          <w:sz w:val="32"/>
          <w:szCs w:val="32"/>
        </w:rPr>
        <w:t>特岗全科医生在聘期内，执行国家统一的工资制度和标准，工资收入与县级公立医疗机构同等条件临床医师工资收入水平相衔接。实施全科医生特设岗位计划所需资金由中央和市县财政共同承担，主要用于特岗全科医生符合国家规定的工资性支出。2019年中央财政按5万元／年／人进行补助，如特岗全科医生符合国家统一规定的工资性年收入水平高于中央财政补助标准的，高出部分及其符合国家规定的社会保险缴费等费用由市县财政负担，乡镇卫生院承担特岗全科医生岗前集中培训等费用。</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特岗全科医生按规定收取签约服务费，医疗卫生机构在绩效工资内部分配时要向承担服务的特岗全科医生倾斜。</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县级公立医疗机构负责为特岗全科医生发放工资和办理社会保险等手续。</w:t>
      </w:r>
    </w:p>
    <w:p>
      <w:pPr>
        <w:widowControl/>
        <w:spacing w:line="600" w:lineRule="exact"/>
        <w:ind w:firstLine="643" w:firstLineChars="200"/>
        <w:rPr>
          <w:rFonts w:ascii="仿宋_GB2312" w:hAnsi="微软雅黑" w:eastAsia="仿宋_GB2312" w:cs="宋体"/>
          <w:color w:val="444444"/>
          <w:kern w:val="0"/>
          <w:sz w:val="32"/>
          <w:szCs w:val="32"/>
        </w:rPr>
      </w:pPr>
      <w:r>
        <w:rPr>
          <w:rFonts w:hint="eastAsia" w:ascii="楷体_GB2312" w:hAnsi="微软雅黑" w:eastAsia="楷体_GB2312" w:cs="宋体"/>
          <w:b/>
          <w:color w:val="444444"/>
          <w:kern w:val="0"/>
          <w:sz w:val="32"/>
          <w:szCs w:val="32"/>
        </w:rPr>
        <w:t>（二）社会保险及其他待遇。</w:t>
      </w:r>
      <w:r>
        <w:rPr>
          <w:rFonts w:hint="eastAsia" w:ascii="仿宋_GB2312" w:hAnsi="微软雅黑" w:eastAsia="仿宋_GB2312" w:cs="宋体"/>
          <w:color w:val="444444"/>
          <w:kern w:val="0"/>
          <w:sz w:val="32"/>
          <w:szCs w:val="32"/>
        </w:rPr>
        <w:t>特岗全科医生按照国家有关规定参加社会保险并建立补充养老保险，确保特岗全科医生享受相应的社会保障待遇。服务的乡镇卫生院要为特岗全科医生提供相应的周转住房和必要的生活条件，要为特岗全科医生解决工作、培训的差旅费用。</w:t>
      </w:r>
    </w:p>
    <w:p>
      <w:pPr>
        <w:widowControl/>
        <w:spacing w:line="600" w:lineRule="exact"/>
        <w:ind w:firstLine="643" w:firstLineChars="200"/>
        <w:rPr>
          <w:rFonts w:ascii="仿宋_GB2312" w:hAnsi="微软雅黑" w:eastAsia="仿宋_GB2312" w:cs="宋体"/>
          <w:color w:val="444444"/>
          <w:kern w:val="0"/>
          <w:sz w:val="32"/>
          <w:szCs w:val="32"/>
        </w:rPr>
      </w:pPr>
      <w:r>
        <w:rPr>
          <w:rFonts w:hint="eastAsia" w:ascii="楷体_GB2312" w:hAnsi="微软雅黑" w:eastAsia="楷体_GB2312" w:cs="宋体"/>
          <w:b/>
          <w:color w:val="444444"/>
          <w:kern w:val="0"/>
          <w:sz w:val="32"/>
          <w:szCs w:val="32"/>
        </w:rPr>
        <w:t>（三）教育培训。</w:t>
      </w:r>
      <w:r>
        <w:rPr>
          <w:rFonts w:hint="eastAsia" w:ascii="仿宋_GB2312" w:hAnsi="微软雅黑" w:eastAsia="仿宋_GB2312" w:cs="宋体"/>
          <w:color w:val="444444"/>
          <w:kern w:val="0"/>
          <w:sz w:val="32"/>
          <w:szCs w:val="32"/>
        </w:rPr>
        <w:t>县卫生健康局优先安排特岗全科医生参加继续医学教育，为特岗全科医生提供有全科医学特点、针对性和实用性强的继续医学教育项目。县级公立医疗机构应当充分发挥技术指导和支持作用，每月对特岗全科医生集中培训，有条件的地方可以定期组织特岗全科医生赴外地培训。鼓励特岗全科医生参加远程培训。</w:t>
      </w:r>
    </w:p>
    <w:p>
      <w:pPr>
        <w:widowControl/>
        <w:spacing w:line="600" w:lineRule="exact"/>
        <w:ind w:firstLine="643" w:firstLineChars="200"/>
        <w:rPr>
          <w:rFonts w:ascii="仿宋_GB2312" w:hAnsi="微软雅黑" w:eastAsia="仿宋_GB2312" w:cs="宋体"/>
          <w:color w:val="444444"/>
          <w:kern w:val="0"/>
          <w:sz w:val="32"/>
          <w:szCs w:val="32"/>
        </w:rPr>
      </w:pPr>
      <w:r>
        <w:rPr>
          <w:rFonts w:hint="eastAsia" w:ascii="楷体_GB2312" w:hAnsi="微软雅黑" w:eastAsia="楷体_GB2312" w:cs="宋体"/>
          <w:b/>
          <w:color w:val="444444"/>
          <w:kern w:val="0"/>
          <w:sz w:val="32"/>
          <w:szCs w:val="32"/>
        </w:rPr>
        <w:t>（四）职称晋升。</w:t>
      </w:r>
      <w:r>
        <w:rPr>
          <w:rFonts w:hint="eastAsia" w:ascii="仿宋_GB2312" w:hAnsi="微软雅黑" w:eastAsia="仿宋_GB2312" w:cs="宋体"/>
          <w:color w:val="444444"/>
          <w:kern w:val="0"/>
          <w:sz w:val="32"/>
          <w:szCs w:val="32"/>
        </w:rPr>
        <w:t>特岗全科医生在乡镇卫生院的工作时间，计算为城市医生在晋升主治医师或副主任医师前，到基层累计服务时间。特岗全科医生到基层医疗卫生机构工作的，可提前一年申请职称晋升，享受基层卫生高级职称评审政策，并可在同等条件下优先聘用到全科主治医师岗位。按照国家和我省有关规定，对职称外语、计算机不作要求，论文、科研不作硬性规定，将服务数量、服务质量、群众满意度评价等作为特岗全科医生职称评审时的重要因素。</w:t>
      </w:r>
    </w:p>
    <w:p>
      <w:pPr>
        <w:widowControl/>
        <w:spacing w:line="600" w:lineRule="exact"/>
        <w:ind w:firstLine="643" w:firstLineChars="200"/>
        <w:rPr>
          <w:rFonts w:ascii="仿宋_GB2312" w:hAnsi="微软雅黑" w:eastAsia="仿宋_GB2312" w:cs="宋体"/>
          <w:color w:val="444444"/>
          <w:kern w:val="0"/>
          <w:sz w:val="32"/>
          <w:szCs w:val="32"/>
        </w:rPr>
      </w:pPr>
      <w:r>
        <w:rPr>
          <w:rFonts w:hint="eastAsia" w:ascii="楷体_GB2312" w:hAnsi="微软雅黑" w:eastAsia="楷体_GB2312" w:cs="宋体"/>
          <w:b/>
          <w:color w:val="444444"/>
          <w:kern w:val="0"/>
          <w:sz w:val="32"/>
          <w:szCs w:val="32"/>
        </w:rPr>
        <w:t>（五）服务期满安置。</w:t>
      </w:r>
      <w:r>
        <w:rPr>
          <w:rFonts w:hint="eastAsia" w:ascii="仿宋_GB2312" w:hAnsi="微软雅黑" w:eastAsia="仿宋_GB2312" w:cs="宋体"/>
          <w:color w:val="444444"/>
          <w:kern w:val="0"/>
          <w:sz w:val="32"/>
          <w:szCs w:val="32"/>
        </w:rPr>
        <w:t>特岗全科医生聘期满后，鼓励长期在基层医疗卫生机构工作，对符合相应条件的特岗全科医生，经考核合格，根据本人意愿应在基层医疗卫生机构编制内，纳入编制管理；乡镇卫生院可按有关规定将其聘任到领导岗位；对工作业绩突出、表现优秀的特岗全科医生可根据工作需要，在卫生健康部门所属其他医疗卫生机构编制内，纳入编制管理；应聘前有工作单位的特岗全科医生，除可按条件落实编制外，也可在公开招聘的前提下，通过考核方式招聘回原单位工作，或通过公开招聘到其他医疗机构工作，招聘单位在同等条件下优先聘用。</w:t>
      </w:r>
    </w:p>
    <w:p>
      <w:pPr>
        <w:widowControl/>
        <w:spacing w:line="600" w:lineRule="exact"/>
        <w:ind w:firstLine="640" w:firstLineChars="200"/>
        <w:rPr>
          <w:rFonts w:ascii="黑体" w:hAnsi="黑体" w:eastAsia="黑体" w:cs="宋体"/>
          <w:color w:val="444444"/>
          <w:kern w:val="0"/>
          <w:sz w:val="32"/>
          <w:szCs w:val="32"/>
        </w:rPr>
      </w:pPr>
      <w:r>
        <w:rPr>
          <w:rFonts w:hint="eastAsia" w:ascii="黑体" w:hAnsi="黑体" w:eastAsia="黑体" w:cs="宋体"/>
          <w:color w:val="444444"/>
          <w:kern w:val="0"/>
          <w:sz w:val="32"/>
          <w:szCs w:val="32"/>
        </w:rPr>
        <w:t>五、其他事项</w:t>
      </w:r>
    </w:p>
    <w:p>
      <w:pPr>
        <w:widowControl/>
        <w:spacing w:line="600" w:lineRule="exact"/>
        <w:ind w:firstLine="640" w:firstLineChars="200"/>
        <w:rPr>
          <w:rFonts w:hint="eastAsia"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按照《以全科医生为重点的基层医疗卫生队伍建设规划》（发改社会〔2010〕561号），鼓励城市业务水平较高、身体状况较好的退休卫生专业技术人员到基层医疗卫生机构开展医疗卫生服务，补助水平参照特岗全科医生，但不能享受通知中有关职称评聘、服务期满安置等非退休人员待遇政策。鼓励和组织有关行业协会学会、高等院校和社会非营利组织等参与全科医生特设岗位计划实施的相关工作。鼓励社会各界采取设立专项基金奖金、补助等方式，为特岗全科医生提供支持。</w:t>
      </w:r>
    </w:p>
    <w:p>
      <w:pPr>
        <w:widowControl/>
        <w:spacing w:line="600" w:lineRule="exact"/>
        <w:ind w:firstLine="640" w:firstLineChars="200"/>
        <w:rPr>
          <w:rFonts w:hint="eastAsia" w:ascii="黑体" w:hAnsi="黑体" w:eastAsia="黑体" w:cs="宋体"/>
          <w:color w:val="444444"/>
          <w:kern w:val="0"/>
          <w:sz w:val="32"/>
          <w:szCs w:val="32"/>
        </w:rPr>
      </w:pPr>
      <w:r>
        <w:rPr>
          <w:rFonts w:hint="eastAsia" w:ascii="黑体" w:hAnsi="黑体" w:eastAsia="黑体" w:cs="宋体"/>
          <w:color w:val="444444"/>
          <w:kern w:val="0"/>
          <w:sz w:val="32"/>
          <w:szCs w:val="32"/>
        </w:rPr>
        <w:t>六、报名有关事宜</w:t>
      </w:r>
    </w:p>
    <w:p>
      <w:pPr>
        <w:widowControl/>
        <w:spacing w:line="600" w:lineRule="exact"/>
        <w:ind w:firstLine="643" w:firstLineChars="200"/>
        <w:rPr>
          <w:rFonts w:hint="eastAsia" w:ascii="仿宋_GB2312" w:hAnsi="微软雅黑" w:eastAsia="仿宋_GB2312" w:cs="宋体"/>
          <w:color w:val="444444"/>
          <w:kern w:val="0"/>
          <w:sz w:val="32"/>
          <w:szCs w:val="32"/>
        </w:rPr>
      </w:pPr>
      <w:r>
        <w:rPr>
          <w:rFonts w:hint="eastAsia" w:ascii="仿宋_GB2312" w:hAnsi="微软雅黑" w:eastAsia="仿宋_GB2312" w:cs="宋体"/>
          <w:b/>
          <w:color w:val="444444"/>
          <w:kern w:val="0"/>
          <w:sz w:val="32"/>
          <w:szCs w:val="32"/>
        </w:rPr>
        <w:t>1、</w:t>
      </w:r>
      <w:r>
        <w:rPr>
          <w:rFonts w:hint="eastAsia" w:ascii="仿宋_GB2312" w:hAnsi="微软雅黑" w:eastAsia="仿宋_GB2312" w:cs="宋体"/>
          <w:color w:val="444444"/>
          <w:kern w:val="0"/>
          <w:sz w:val="32"/>
          <w:szCs w:val="32"/>
        </w:rPr>
        <w:t>报名人员需持有关证件资料，到</w:t>
      </w:r>
      <w:r>
        <w:rPr>
          <w:rFonts w:hint="eastAsia" w:ascii="仿宋_GB2312" w:hAnsi="微软雅黑" w:eastAsia="仿宋_GB2312" w:cs="宋体"/>
          <w:color w:val="444444"/>
          <w:kern w:val="0"/>
          <w:sz w:val="32"/>
          <w:szCs w:val="32"/>
          <w:lang w:eastAsia="zh-CN"/>
        </w:rPr>
        <w:t>明水</w:t>
      </w:r>
      <w:r>
        <w:rPr>
          <w:rFonts w:hint="eastAsia" w:ascii="仿宋_GB2312" w:hAnsi="微软雅黑" w:eastAsia="仿宋_GB2312" w:cs="宋体"/>
          <w:color w:val="444444"/>
          <w:kern w:val="0"/>
          <w:sz w:val="32"/>
          <w:szCs w:val="32"/>
        </w:rPr>
        <w:t>县卫生健康局人秘股报名。</w:t>
      </w:r>
    </w:p>
    <w:p>
      <w:pPr>
        <w:widowControl/>
        <w:spacing w:line="600" w:lineRule="exact"/>
        <w:ind w:firstLine="640" w:firstLineChars="200"/>
        <w:rPr>
          <w:rFonts w:hint="eastAsia"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2、报名时间2019年10月</w:t>
      </w:r>
      <w:r>
        <w:rPr>
          <w:rFonts w:hint="eastAsia" w:ascii="仿宋_GB2312" w:hAnsi="微软雅黑" w:eastAsia="仿宋_GB2312" w:cs="宋体"/>
          <w:color w:val="444444"/>
          <w:kern w:val="0"/>
          <w:sz w:val="32"/>
          <w:szCs w:val="32"/>
          <w:lang w:val="en-US" w:eastAsia="zh-CN"/>
        </w:rPr>
        <w:t>10</w:t>
      </w:r>
      <w:r>
        <w:rPr>
          <w:rFonts w:hint="eastAsia" w:ascii="仿宋_GB2312" w:hAnsi="微软雅黑" w:eastAsia="仿宋_GB2312" w:cs="宋体"/>
          <w:color w:val="444444"/>
          <w:kern w:val="0"/>
          <w:sz w:val="32"/>
          <w:szCs w:val="32"/>
        </w:rPr>
        <w:t>日—10月1</w:t>
      </w:r>
      <w:r>
        <w:rPr>
          <w:rFonts w:hint="eastAsia" w:ascii="仿宋_GB2312" w:hAnsi="微软雅黑" w:eastAsia="仿宋_GB2312" w:cs="宋体"/>
          <w:color w:val="444444"/>
          <w:kern w:val="0"/>
          <w:sz w:val="32"/>
          <w:szCs w:val="32"/>
          <w:lang w:val="en-US" w:eastAsia="zh-CN"/>
        </w:rPr>
        <w:t>7</w:t>
      </w:r>
      <w:r>
        <w:rPr>
          <w:rFonts w:hint="eastAsia" w:ascii="仿宋_GB2312" w:hAnsi="微软雅黑" w:eastAsia="仿宋_GB2312" w:cs="宋体"/>
          <w:color w:val="444444"/>
          <w:kern w:val="0"/>
          <w:sz w:val="32"/>
          <w:szCs w:val="32"/>
        </w:rPr>
        <w:t>日。</w:t>
      </w:r>
    </w:p>
    <w:p>
      <w:pPr>
        <w:widowControl/>
        <w:spacing w:line="600" w:lineRule="exact"/>
        <w:ind w:firstLine="640" w:firstLineChars="200"/>
        <w:rPr>
          <w:rFonts w:hint="eastAsia"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3、联系电话，0455</w:t>
      </w:r>
      <w:r>
        <w:rPr>
          <w:rFonts w:ascii="仿宋_GB2312" w:hAnsi="微软雅黑" w:eastAsia="仿宋_GB2312" w:cs="宋体"/>
          <w:color w:val="444444"/>
          <w:kern w:val="0"/>
          <w:sz w:val="32"/>
          <w:szCs w:val="32"/>
        </w:rPr>
        <w:t>—</w:t>
      </w:r>
      <w:r>
        <w:rPr>
          <w:rFonts w:hint="eastAsia" w:ascii="仿宋_GB2312" w:hAnsi="微软雅黑" w:eastAsia="仿宋_GB2312" w:cs="宋体"/>
          <w:color w:val="444444"/>
          <w:kern w:val="0"/>
          <w:sz w:val="32"/>
          <w:szCs w:val="32"/>
          <w:lang w:val="en-US" w:eastAsia="zh-CN"/>
        </w:rPr>
        <w:t>6071018</w:t>
      </w:r>
      <w:r>
        <w:rPr>
          <w:rFonts w:hint="eastAsia" w:ascii="仿宋_GB2312" w:hAnsi="微软雅黑" w:eastAsia="仿宋_GB2312" w:cs="宋体"/>
          <w:color w:val="444444"/>
          <w:kern w:val="0"/>
          <w:sz w:val="32"/>
          <w:szCs w:val="32"/>
        </w:rPr>
        <w:t>；</w:t>
      </w:r>
    </w:p>
    <w:p>
      <w:pPr>
        <w:widowControl/>
        <w:spacing w:line="600" w:lineRule="exact"/>
        <w:ind w:firstLine="640" w:firstLineChars="200"/>
        <w:rPr>
          <w:rFonts w:hint="eastAsia" w:ascii="仿宋_GB2312" w:hAnsi="微软雅黑" w:eastAsia="仿宋_GB2312" w:cs="宋体"/>
          <w:color w:val="444444"/>
          <w:kern w:val="0"/>
          <w:sz w:val="32"/>
          <w:szCs w:val="32"/>
          <w:lang w:eastAsia="zh-CN"/>
        </w:rPr>
      </w:pPr>
      <w:r>
        <w:rPr>
          <w:rFonts w:hint="eastAsia" w:ascii="仿宋_GB2312" w:hAnsi="微软雅黑" w:eastAsia="仿宋_GB2312" w:cs="宋体"/>
          <w:color w:val="444444"/>
          <w:kern w:val="0"/>
          <w:sz w:val="32"/>
          <w:szCs w:val="32"/>
        </w:rPr>
        <w:t>4、联系人：</w:t>
      </w:r>
      <w:r>
        <w:rPr>
          <w:rFonts w:hint="eastAsia" w:ascii="仿宋_GB2312" w:hAnsi="微软雅黑" w:eastAsia="仿宋_GB2312" w:cs="宋体"/>
          <w:color w:val="444444"/>
          <w:kern w:val="0"/>
          <w:sz w:val="32"/>
          <w:szCs w:val="32"/>
          <w:lang w:eastAsia="zh-CN"/>
        </w:rPr>
        <w:t>杨明娟</w:t>
      </w:r>
    </w:p>
    <w:p>
      <w:pPr>
        <w:widowControl/>
        <w:spacing w:line="600" w:lineRule="exact"/>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5、考试时间另行通知。</w:t>
      </w:r>
    </w:p>
    <w:p>
      <w:pPr>
        <w:widowControl/>
        <w:spacing w:line="600" w:lineRule="exact"/>
        <w:ind w:firstLine="640" w:firstLineChars="200"/>
        <w:rPr>
          <w:rFonts w:ascii="仿宋_GB2312" w:hAnsi="微软雅黑" w:eastAsia="仿宋_GB2312" w:cs="宋体"/>
          <w:color w:val="444444"/>
          <w:kern w:val="0"/>
          <w:sz w:val="32"/>
          <w:szCs w:val="32"/>
        </w:rPr>
      </w:pPr>
    </w:p>
    <w:p>
      <w:pPr>
        <w:widowControl/>
        <w:spacing w:line="480" w:lineRule="auto"/>
        <w:ind w:firstLine="480"/>
        <w:rPr>
          <w:rFonts w:ascii="微软雅黑" w:hAnsi="微软雅黑" w:eastAsia="仿宋_GB2312" w:cs="宋体"/>
          <w:color w:val="444444"/>
          <w:kern w:val="0"/>
          <w:sz w:val="32"/>
          <w:szCs w:val="32"/>
        </w:rPr>
      </w:pPr>
      <w:r>
        <w:rPr>
          <w:rFonts w:hint="eastAsia" w:ascii="微软雅黑" w:hAnsi="微软雅黑" w:eastAsia="仿宋_GB2312" w:cs="宋体"/>
          <w:color w:val="444444"/>
          <w:kern w:val="0"/>
          <w:sz w:val="32"/>
          <w:szCs w:val="32"/>
        </w:rPr>
        <w:t> </w:t>
      </w:r>
    </w:p>
    <w:p>
      <w:pPr>
        <w:widowControl/>
        <w:spacing w:line="480" w:lineRule="auto"/>
        <w:ind w:firstLine="480"/>
        <w:rPr>
          <w:rFonts w:ascii="仿宋_GB2312" w:hAnsi="微软雅黑" w:eastAsia="仿宋_GB2312" w:cs="宋体"/>
          <w:color w:val="444444"/>
          <w:kern w:val="0"/>
          <w:sz w:val="32"/>
          <w:szCs w:val="32"/>
        </w:rPr>
      </w:pPr>
    </w:p>
    <w:p>
      <w:pPr>
        <w:widowControl/>
        <w:spacing w:line="480" w:lineRule="auto"/>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lang w:eastAsia="zh-CN"/>
        </w:rPr>
        <w:t>明水</w:t>
      </w:r>
      <w:r>
        <w:rPr>
          <w:rFonts w:hint="eastAsia" w:ascii="仿宋_GB2312" w:hAnsi="微软雅黑" w:eastAsia="仿宋_GB2312" w:cs="宋体"/>
          <w:color w:val="444444"/>
          <w:kern w:val="0"/>
          <w:sz w:val="32"/>
          <w:szCs w:val="32"/>
        </w:rPr>
        <w:t xml:space="preserve">县卫生健康局 </w:t>
      </w:r>
      <w:r>
        <w:rPr>
          <w:rFonts w:hint="eastAsia" w:ascii="微软雅黑" w:hAnsi="微软雅黑" w:eastAsia="仿宋_GB2312" w:cs="宋体"/>
          <w:color w:val="444444"/>
          <w:kern w:val="0"/>
          <w:sz w:val="32"/>
          <w:szCs w:val="32"/>
        </w:rPr>
        <w:t>  </w:t>
      </w:r>
      <w:r>
        <w:rPr>
          <w:rFonts w:hint="eastAsia" w:ascii="仿宋_GB2312" w:hAnsi="微软雅黑" w:eastAsia="仿宋_GB2312" w:cs="宋体"/>
          <w:color w:val="444444"/>
          <w:kern w:val="0"/>
          <w:sz w:val="32"/>
          <w:szCs w:val="32"/>
        </w:rPr>
        <w:t xml:space="preserve">   </w:t>
      </w:r>
      <w:r>
        <w:rPr>
          <w:rFonts w:hint="eastAsia" w:ascii="仿宋_GB2312" w:hAnsi="微软雅黑" w:eastAsia="仿宋_GB2312" w:cs="宋体"/>
          <w:color w:val="444444"/>
          <w:kern w:val="0"/>
          <w:sz w:val="32"/>
          <w:szCs w:val="32"/>
          <w:lang w:eastAsia="zh-CN"/>
        </w:rPr>
        <w:t>明水</w:t>
      </w:r>
      <w:r>
        <w:rPr>
          <w:rFonts w:hint="eastAsia" w:ascii="仿宋_GB2312" w:hAnsi="微软雅黑" w:eastAsia="仿宋_GB2312" w:cs="宋体"/>
          <w:color w:val="444444"/>
          <w:kern w:val="0"/>
          <w:sz w:val="32"/>
          <w:szCs w:val="32"/>
        </w:rPr>
        <w:t>县人力资源和社会保障局</w:t>
      </w:r>
      <w:r>
        <w:rPr>
          <w:rFonts w:hint="eastAsia" w:ascii="微软雅黑" w:hAnsi="微软雅黑" w:eastAsia="仿宋_GB2312" w:cs="宋体"/>
          <w:color w:val="444444"/>
          <w:kern w:val="0"/>
          <w:sz w:val="32"/>
          <w:szCs w:val="32"/>
        </w:rPr>
        <w:t> </w:t>
      </w:r>
    </w:p>
    <w:p>
      <w:pPr>
        <w:widowControl/>
        <w:spacing w:line="480" w:lineRule="auto"/>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 xml:space="preserve">                         2019年</w:t>
      </w:r>
      <w:r>
        <w:rPr>
          <w:rFonts w:hint="eastAsia" w:ascii="仿宋_GB2312" w:hAnsi="微软雅黑" w:eastAsia="仿宋_GB2312" w:cs="宋体"/>
          <w:color w:val="444444"/>
          <w:kern w:val="0"/>
          <w:sz w:val="32"/>
          <w:szCs w:val="32"/>
          <w:lang w:val="en-US" w:eastAsia="zh-CN"/>
        </w:rPr>
        <w:t>10</w:t>
      </w:r>
      <w:bookmarkStart w:id="0" w:name="_GoBack"/>
      <w:bookmarkEnd w:id="0"/>
      <w:r>
        <w:rPr>
          <w:rFonts w:hint="eastAsia" w:ascii="仿宋_GB2312" w:hAnsi="微软雅黑" w:eastAsia="仿宋_GB2312" w:cs="宋体"/>
          <w:color w:val="444444"/>
          <w:kern w:val="0"/>
          <w:sz w:val="32"/>
          <w:szCs w:val="32"/>
        </w:rPr>
        <w:t>月</w:t>
      </w:r>
      <w:r>
        <w:rPr>
          <w:rFonts w:hint="eastAsia" w:ascii="仿宋_GB2312" w:hAnsi="微软雅黑" w:eastAsia="仿宋_GB2312" w:cs="宋体"/>
          <w:color w:val="444444"/>
          <w:kern w:val="0"/>
          <w:sz w:val="32"/>
          <w:szCs w:val="32"/>
          <w:lang w:val="en-US" w:eastAsia="zh-CN"/>
        </w:rPr>
        <w:t>8</w:t>
      </w:r>
      <w:r>
        <w:rPr>
          <w:rFonts w:hint="eastAsia" w:ascii="仿宋_GB2312" w:hAnsi="微软雅黑" w:eastAsia="仿宋_GB2312" w:cs="宋体"/>
          <w:color w:val="444444"/>
          <w:kern w:val="0"/>
          <w:sz w:val="32"/>
          <w:szCs w:val="32"/>
        </w:rPr>
        <w:t>日</w:t>
      </w:r>
    </w:p>
    <w:p>
      <w:pPr>
        <w:widowControl/>
        <w:spacing w:line="480" w:lineRule="auto"/>
        <w:ind w:firstLine="640" w:firstLineChars="200"/>
        <w:rPr>
          <w:rFonts w:ascii="仿宋_GB2312" w:hAnsi="微软雅黑" w:eastAsia="仿宋_GB2312" w:cs="宋体"/>
          <w:color w:val="444444"/>
          <w:kern w:val="0"/>
          <w:sz w:val="32"/>
          <w:szCs w:val="32"/>
        </w:rPr>
      </w:pPr>
    </w:p>
    <w:p>
      <w:pPr>
        <w:widowControl/>
        <w:spacing w:line="480" w:lineRule="auto"/>
        <w:ind w:firstLine="640" w:firstLineChars="200"/>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附件：</w:t>
      </w:r>
      <w:r>
        <w:rPr>
          <w:rFonts w:hint="eastAsia" w:ascii="仿宋_GB2312" w:hAnsi="微软雅黑" w:eastAsia="仿宋_GB2312" w:cs="宋体"/>
          <w:color w:val="444444"/>
          <w:kern w:val="0"/>
          <w:sz w:val="32"/>
          <w:szCs w:val="32"/>
          <w:lang w:eastAsia="zh-CN"/>
        </w:rPr>
        <w:t>明水</w:t>
      </w:r>
      <w:r>
        <w:rPr>
          <w:rFonts w:hint="eastAsia" w:ascii="仿宋_GB2312" w:hAnsi="微软雅黑" w:eastAsia="仿宋_GB2312" w:cs="宋体"/>
          <w:color w:val="444444"/>
          <w:kern w:val="0"/>
          <w:sz w:val="32"/>
          <w:szCs w:val="32"/>
        </w:rPr>
        <w:t>县艰苦边远地区全科医生特设岗位公开招聘报名表.</w:t>
      </w:r>
    </w:p>
    <w:p>
      <w:pPr>
        <w:rPr>
          <w:b/>
          <w:sz w:val="32"/>
          <w:szCs w:val="32"/>
        </w:rPr>
      </w:pPr>
    </w:p>
    <w:p>
      <w:pPr>
        <w:rPr>
          <w:b/>
          <w:sz w:val="32"/>
          <w:szCs w:val="32"/>
        </w:rPr>
      </w:pPr>
    </w:p>
    <w:p>
      <w:pPr>
        <w:rPr>
          <w:b/>
          <w:sz w:val="32"/>
          <w:szCs w:val="32"/>
        </w:rPr>
      </w:pPr>
    </w:p>
    <w:p>
      <w:pPr>
        <w:rPr>
          <w:b/>
          <w:sz w:val="32"/>
          <w:szCs w:val="32"/>
        </w:rPr>
      </w:pPr>
    </w:p>
    <w:p>
      <w:pPr>
        <w:rPr>
          <w:b/>
          <w:sz w:val="32"/>
          <w:szCs w:val="32"/>
        </w:rPr>
      </w:pPr>
    </w:p>
    <w:p>
      <w:pPr>
        <w:ind w:firstLine="660" w:firstLineChars="150"/>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艰苦边远地区特岗全科医生公开招聘</w:t>
      </w:r>
    </w:p>
    <w:p>
      <w:pPr>
        <w:ind w:firstLine="3080" w:firstLineChars="700"/>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报名表</w:t>
      </w:r>
    </w:p>
    <w:p/>
    <w:tbl>
      <w:tblPr>
        <w:tblStyle w:val="8"/>
        <w:tblW w:w="9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541"/>
        <w:gridCol w:w="2036"/>
        <w:gridCol w:w="1627"/>
        <w:gridCol w:w="1093"/>
        <w:gridCol w:w="998"/>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9294" w:type="dxa"/>
            <w:gridSpan w:val="6"/>
            <w:vAlign w:val="center"/>
          </w:tcPr>
          <w:p>
            <w:pPr>
              <w:jc w:val="left"/>
              <w:textAlignment w:val="center"/>
              <w:rPr>
                <w:rFonts w:ascii="宋体" w:cs="宋体"/>
                <w:b/>
                <w:color w:val="000000"/>
                <w:sz w:val="24"/>
              </w:rPr>
            </w:pPr>
            <w:r>
              <w:rPr>
                <w:rFonts w:ascii="宋体" w:hAnsi="宋体" w:cs="宋体"/>
                <w:b/>
                <w:color w:val="000000"/>
                <w:kern w:val="0"/>
                <w:sz w:val="24"/>
              </w:rPr>
              <w:t>1.</w:t>
            </w:r>
            <w:r>
              <w:rPr>
                <w:rFonts w:hint="eastAsia" w:ascii="宋体" w:hAnsi="宋体" w:cs="宋体"/>
                <w:b/>
                <w:color w:val="000000"/>
                <w:kern w:val="0"/>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姓</w:t>
            </w:r>
            <w:r>
              <w:rPr>
                <w:rFonts w:ascii="宋体" w:hAnsi="宋体" w:cs="宋体"/>
                <w:color w:val="000000"/>
                <w:kern w:val="0"/>
                <w:sz w:val="24"/>
              </w:rPr>
              <w:t xml:space="preserve">    </w:t>
            </w:r>
            <w:r>
              <w:rPr>
                <w:rFonts w:hint="eastAsia" w:ascii="宋体" w:hAnsi="宋体" w:cs="宋体"/>
                <w:color w:val="000000"/>
                <w:kern w:val="0"/>
                <w:sz w:val="24"/>
              </w:rPr>
              <w:t>名</w:t>
            </w:r>
          </w:p>
        </w:tc>
        <w:tc>
          <w:tcPr>
            <w:tcW w:w="2036" w:type="dxa"/>
            <w:vAlign w:val="center"/>
          </w:tcPr>
          <w:p>
            <w:pPr>
              <w:rPr>
                <w:rFonts w:ascii="宋体" w:cs="宋体"/>
                <w:color w:val="000000"/>
                <w:sz w:val="24"/>
              </w:rPr>
            </w:pPr>
          </w:p>
        </w:tc>
        <w:tc>
          <w:tcPr>
            <w:tcW w:w="1627" w:type="dxa"/>
            <w:vAlign w:val="center"/>
          </w:tcPr>
          <w:p>
            <w:pPr>
              <w:jc w:val="left"/>
              <w:textAlignment w:val="center"/>
              <w:rPr>
                <w:rFonts w:ascii="宋体" w:cs="宋体"/>
                <w:color w:val="000000"/>
                <w:sz w:val="24"/>
              </w:rPr>
            </w:pPr>
            <w:r>
              <w:rPr>
                <w:rFonts w:hint="eastAsia" w:ascii="宋体" w:hAnsi="宋体" w:cs="宋体"/>
                <w:color w:val="000000"/>
                <w:kern w:val="0"/>
                <w:sz w:val="24"/>
              </w:rPr>
              <w:t>性</w:t>
            </w:r>
            <w:r>
              <w:rPr>
                <w:rFonts w:ascii="宋体" w:hAnsi="宋体" w:cs="宋体"/>
                <w:color w:val="000000"/>
                <w:kern w:val="0"/>
                <w:sz w:val="24"/>
              </w:rPr>
              <w:t xml:space="preserve">    </w:t>
            </w:r>
            <w:r>
              <w:rPr>
                <w:rFonts w:hint="eastAsia" w:ascii="宋体" w:hAnsi="宋体" w:cs="宋体"/>
                <w:color w:val="000000"/>
                <w:kern w:val="0"/>
                <w:sz w:val="24"/>
              </w:rPr>
              <w:t>别</w:t>
            </w:r>
          </w:p>
        </w:tc>
        <w:tc>
          <w:tcPr>
            <w:tcW w:w="1093" w:type="dxa"/>
            <w:vAlign w:val="center"/>
          </w:tcPr>
          <w:p>
            <w:pPr>
              <w:rPr>
                <w:rFonts w:ascii="宋体" w:cs="宋体"/>
                <w:color w:val="000000"/>
                <w:sz w:val="24"/>
              </w:rPr>
            </w:pPr>
          </w:p>
        </w:tc>
        <w:tc>
          <w:tcPr>
            <w:tcW w:w="1997" w:type="dxa"/>
            <w:gridSpan w:val="2"/>
            <w:vMerge w:val="restart"/>
            <w:vAlign w:val="center"/>
          </w:tcPr>
          <w:p>
            <w:pPr>
              <w:jc w:val="left"/>
              <w:textAlignment w:val="center"/>
              <w:rPr>
                <w:rFonts w:ascii="宋体" w:cs="宋体"/>
                <w:color w:val="000000"/>
                <w:sz w:val="24"/>
              </w:rPr>
            </w:pPr>
            <w:r>
              <w:rPr>
                <w:rFonts w:ascii="宋体" w:hAnsi="宋体" w:cs="宋体"/>
                <w:color w:val="000000"/>
                <w:kern w:val="0"/>
                <w:sz w:val="24"/>
              </w:rPr>
              <w:t xml:space="preserve">     </w:t>
            </w:r>
            <w:r>
              <w:rPr>
                <w:rFonts w:hint="eastAsia" w:ascii="宋体" w:hAnsi="宋体" w:cs="宋体"/>
                <w:color w:val="000000"/>
                <w:kern w:val="0"/>
                <w:sz w:val="24"/>
              </w:rPr>
              <w:t>相</w:t>
            </w:r>
            <w:r>
              <w:rPr>
                <w:rFonts w:ascii="宋体" w:hAnsi="宋体" w:cs="宋体"/>
                <w:color w:val="000000"/>
                <w:kern w:val="0"/>
                <w:sz w:val="24"/>
              </w:rPr>
              <w:t xml:space="preserve">  </w:t>
            </w:r>
            <w:r>
              <w:rPr>
                <w:rFonts w:hint="eastAsia" w:ascii="宋体" w:hAnsi="宋体" w:cs="宋体"/>
                <w:color w:val="000000"/>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出生年月</w:t>
            </w:r>
          </w:p>
        </w:tc>
        <w:tc>
          <w:tcPr>
            <w:tcW w:w="2036" w:type="dxa"/>
            <w:vAlign w:val="center"/>
          </w:tcPr>
          <w:p>
            <w:pPr>
              <w:rPr>
                <w:rFonts w:ascii="宋体" w:cs="宋体"/>
                <w:color w:val="000000"/>
                <w:sz w:val="24"/>
              </w:rPr>
            </w:pPr>
          </w:p>
        </w:tc>
        <w:tc>
          <w:tcPr>
            <w:tcW w:w="1627" w:type="dxa"/>
            <w:vAlign w:val="center"/>
          </w:tcPr>
          <w:p>
            <w:pPr>
              <w:jc w:val="left"/>
              <w:textAlignment w:val="center"/>
              <w:rPr>
                <w:rFonts w:ascii="宋体" w:cs="宋体"/>
                <w:color w:val="000000"/>
                <w:sz w:val="24"/>
              </w:rPr>
            </w:pPr>
            <w:r>
              <w:rPr>
                <w:rFonts w:hint="eastAsia" w:ascii="宋体" w:hAnsi="宋体" w:cs="宋体"/>
                <w:color w:val="000000"/>
                <w:kern w:val="0"/>
                <w:sz w:val="24"/>
              </w:rPr>
              <w:t>民</w:t>
            </w:r>
            <w:r>
              <w:rPr>
                <w:rFonts w:ascii="宋体" w:hAnsi="宋体" w:cs="宋体"/>
                <w:color w:val="000000"/>
                <w:kern w:val="0"/>
                <w:sz w:val="24"/>
              </w:rPr>
              <w:t xml:space="preserve">    </w:t>
            </w:r>
            <w:r>
              <w:rPr>
                <w:rFonts w:hint="eastAsia" w:ascii="宋体" w:hAnsi="宋体" w:cs="宋体"/>
                <w:color w:val="000000"/>
                <w:kern w:val="0"/>
                <w:sz w:val="24"/>
              </w:rPr>
              <w:t>族</w:t>
            </w:r>
          </w:p>
        </w:tc>
        <w:tc>
          <w:tcPr>
            <w:tcW w:w="1093" w:type="dxa"/>
            <w:vAlign w:val="center"/>
          </w:tcPr>
          <w:p>
            <w:pPr>
              <w:rPr>
                <w:rFonts w:ascii="宋体" w:cs="宋体"/>
                <w:color w:val="000000"/>
                <w:sz w:val="24"/>
              </w:rPr>
            </w:pPr>
          </w:p>
        </w:tc>
        <w:tc>
          <w:tcPr>
            <w:tcW w:w="1997" w:type="dxa"/>
            <w:gridSpan w:val="2"/>
            <w:vMerge w:val="continue"/>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籍</w:t>
            </w:r>
            <w:r>
              <w:rPr>
                <w:rFonts w:ascii="宋体" w:hAnsi="宋体" w:cs="宋体"/>
                <w:color w:val="000000"/>
                <w:kern w:val="0"/>
                <w:sz w:val="24"/>
              </w:rPr>
              <w:t xml:space="preserve">    </w:t>
            </w:r>
            <w:r>
              <w:rPr>
                <w:rFonts w:hint="eastAsia" w:ascii="宋体" w:hAnsi="宋体" w:cs="宋体"/>
                <w:color w:val="000000"/>
                <w:kern w:val="0"/>
                <w:sz w:val="24"/>
              </w:rPr>
              <w:t>贯</w:t>
            </w:r>
          </w:p>
        </w:tc>
        <w:tc>
          <w:tcPr>
            <w:tcW w:w="2036" w:type="dxa"/>
            <w:vAlign w:val="center"/>
          </w:tcPr>
          <w:p>
            <w:pPr>
              <w:rPr>
                <w:rFonts w:ascii="宋体" w:cs="宋体"/>
                <w:color w:val="000000"/>
                <w:sz w:val="24"/>
              </w:rPr>
            </w:pPr>
          </w:p>
        </w:tc>
        <w:tc>
          <w:tcPr>
            <w:tcW w:w="1627" w:type="dxa"/>
            <w:vAlign w:val="center"/>
          </w:tcPr>
          <w:p>
            <w:pPr>
              <w:jc w:val="left"/>
              <w:textAlignment w:val="center"/>
              <w:rPr>
                <w:rFonts w:ascii="宋体" w:cs="宋体"/>
                <w:color w:val="000000"/>
                <w:sz w:val="24"/>
              </w:rPr>
            </w:pPr>
            <w:r>
              <w:rPr>
                <w:rFonts w:hint="eastAsia" w:ascii="宋体" w:hAnsi="宋体" w:cs="宋体"/>
                <w:color w:val="000000"/>
                <w:kern w:val="0"/>
                <w:sz w:val="24"/>
              </w:rPr>
              <w:t>政治面貌</w:t>
            </w:r>
          </w:p>
        </w:tc>
        <w:tc>
          <w:tcPr>
            <w:tcW w:w="1093" w:type="dxa"/>
            <w:vAlign w:val="center"/>
          </w:tcPr>
          <w:p>
            <w:pPr>
              <w:rPr>
                <w:rFonts w:ascii="宋体" w:cs="宋体"/>
                <w:color w:val="000000"/>
                <w:sz w:val="24"/>
              </w:rPr>
            </w:pPr>
          </w:p>
        </w:tc>
        <w:tc>
          <w:tcPr>
            <w:tcW w:w="1997" w:type="dxa"/>
            <w:gridSpan w:val="2"/>
            <w:vMerge w:val="continue"/>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学</w:t>
            </w:r>
            <w:r>
              <w:rPr>
                <w:rFonts w:ascii="宋体" w:hAnsi="宋体" w:cs="宋体"/>
                <w:color w:val="000000"/>
                <w:kern w:val="0"/>
                <w:sz w:val="24"/>
              </w:rPr>
              <w:t xml:space="preserve">    </w:t>
            </w:r>
            <w:r>
              <w:rPr>
                <w:rFonts w:hint="eastAsia" w:ascii="宋体" w:hAnsi="宋体" w:cs="宋体"/>
                <w:color w:val="000000"/>
                <w:kern w:val="0"/>
                <w:sz w:val="24"/>
              </w:rPr>
              <w:t>历</w:t>
            </w:r>
          </w:p>
        </w:tc>
        <w:tc>
          <w:tcPr>
            <w:tcW w:w="2036" w:type="dxa"/>
            <w:vAlign w:val="center"/>
          </w:tcPr>
          <w:p>
            <w:pPr>
              <w:rPr>
                <w:rFonts w:ascii="宋体" w:cs="宋体"/>
                <w:color w:val="000000"/>
                <w:sz w:val="24"/>
              </w:rPr>
            </w:pPr>
          </w:p>
        </w:tc>
        <w:tc>
          <w:tcPr>
            <w:tcW w:w="1627" w:type="dxa"/>
            <w:vAlign w:val="center"/>
          </w:tcPr>
          <w:p>
            <w:pPr>
              <w:jc w:val="left"/>
              <w:textAlignment w:val="center"/>
              <w:rPr>
                <w:rFonts w:ascii="宋体" w:cs="宋体"/>
                <w:color w:val="000000"/>
                <w:sz w:val="24"/>
              </w:rPr>
            </w:pPr>
            <w:r>
              <w:rPr>
                <w:rFonts w:hint="eastAsia" w:ascii="宋体" w:hAnsi="宋体" w:cs="宋体"/>
                <w:color w:val="000000"/>
                <w:kern w:val="0"/>
                <w:sz w:val="24"/>
              </w:rPr>
              <w:t>学</w:t>
            </w:r>
            <w:r>
              <w:rPr>
                <w:rFonts w:ascii="宋体" w:hAnsi="宋体" w:cs="宋体"/>
                <w:color w:val="000000"/>
                <w:kern w:val="0"/>
                <w:sz w:val="24"/>
              </w:rPr>
              <w:t xml:space="preserve">    </w:t>
            </w:r>
            <w:r>
              <w:rPr>
                <w:rFonts w:hint="eastAsia" w:ascii="宋体" w:hAnsi="宋体" w:cs="宋体"/>
                <w:color w:val="000000"/>
                <w:kern w:val="0"/>
                <w:sz w:val="24"/>
              </w:rPr>
              <w:t>位</w:t>
            </w:r>
          </w:p>
        </w:tc>
        <w:tc>
          <w:tcPr>
            <w:tcW w:w="1093" w:type="dxa"/>
            <w:vAlign w:val="center"/>
          </w:tcPr>
          <w:p>
            <w:pPr>
              <w:rPr>
                <w:rFonts w:ascii="宋体" w:cs="宋体"/>
                <w:color w:val="000000"/>
                <w:sz w:val="24"/>
              </w:rPr>
            </w:pPr>
          </w:p>
        </w:tc>
        <w:tc>
          <w:tcPr>
            <w:tcW w:w="1997" w:type="dxa"/>
            <w:gridSpan w:val="2"/>
            <w:vMerge w:val="continue"/>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专业技术资格</w:t>
            </w:r>
          </w:p>
        </w:tc>
        <w:tc>
          <w:tcPr>
            <w:tcW w:w="2036" w:type="dxa"/>
            <w:vAlign w:val="center"/>
          </w:tcPr>
          <w:p>
            <w:pPr>
              <w:rPr>
                <w:rFonts w:ascii="宋体" w:cs="宋体"/>
                <w:color w:val="000000"/>
                <w:sz w:val="24"/>
              </w:rPr>
            </w:pPr>
          </w:p>
        </w:tc>
        <w:tc>
          <w:tcPr>
            <w:tcW w:w="1627" w:type="dxa"/>
            <w:vAlign w:val="center"/>
          </w:tcPr>
          <w:p>
            <w:pPr>
              <w:jc w:val="left"/>
              <w:textAlignment w:val="center"/>
              <w:rPr>
                <w:rFonts w:ascii="宋体" w:cs="宋体"/>
                <w:color w:val="000000"/>
                <w:sz w:val="24"/>
              </w:rPr>
            </w:pPr>
            <w:r>
              <w:rPr>
                <w:rFonts w:hint="eastAsia" w:ascii="宋体" w:hAnsi="宋体" w:cs="宋体"/>
                <w:color w:val="000000"/>
                <w:kern w:val="0"/>
                <w:sz w:val="24"/>
              </w:rPr>
              <w:t>身份证号</w:t>
            </w:r>
          </w:p>
        </w:tc>
        <w:tc>
          <w:tcPr>
            <w:tcW w:w="1093" w:type="dxa"/>
            <w:vAlign w:val="center"/>
          </w:tcPr>
          <w:p>
            <w:pPr>
              <w:rPr>
                <w:rFonts w:ascii="宋体" w:cs="宋体"/>
                <w:color w:val="000000"/>
                <w:sz w:val="24"/>
              </w:rPr>
            </w:pPr>
          </w:p>
        </w:tc>
        <w:tc>
          <w:tcPr>
            <w:tcW w:w="1997" w:type="dxa"/>
            <w:gridSpan w:val="2"/>
            <w:vMerge w:val="continue"/>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户籍所在地</w:t>
            </w:r>
          </w:p>
        </w:tc>
        <w:tc>
          <w:tcPr>
            <w:tcW w:w="6753" w:type="dxa"/>
            <w:gridSpan w:val="5"/>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婚姻状况</w:t>
            </w:r>
          </w:p>
        </w:tc>
        <w:tc>
          <w:tcPr>
            <w:tcW w:w="2036" w:type="dxa"/>
            <w:vAlign w:val="center"/>
          </w:tcPr>
          <w:p>
            <w:pPr>
              <w:rPr>
                <w:rFonts w:ascii="宋体" w:cs="宋体"/>
                <w:color w:val="000000"/>
                <w:sz w:val="24"/>
              </w:rPr>
            </w:pPr>
          </w:p>
        </w:tc>
        <w:tc>
          <w:tcPr>
            <w:tcW w:w="1627" w:type="dxa"/>
            <w:vAlign w:val="center"/>
          </w:tcPr>
          <w:p>
            <w:pPr>
              <w:jc w:val="left"/>
              <w:textAlignment w:val="center"/>
              <w:rPr>
                <w:rFonts w:ascii="宋体" w:cs="宋体"/>
                <w:color w:val="000000"/>
                <w:sz w:val="24"/>
              </w:rPr>
            </w:pPr>
            <w:r>
              <w:rPr>
                <w:rFonts w:hint="eastAsia" w:ascii="宋体" w:hAnsi="宋体" w:cs="宋体"/>
                <w:color w:val="000000"/>
                <w:kern w:val="0"/>
                <w:sz w:val="24"/>
              </w:rPr>
              <w:t>档案保管单位</w:t>
            </w:r>
          </w:p>
        </w:tc>
        <w:tc>
          <w:tcPr>
            <w:tcW w:w="3090" w:type="dxa"/>
            <w:gridSpan w:val="3"/>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家庭详细地址</w:t>
            </w:r>
          </w:p>
        </w:tc>
        <w:tc>
          <w:tcPr>
            <w:tcW w:w="3663" w:type="dxa"/>
            <w:gridSpan w:val="2"/>
            <w:vAlign w:val="center"/>
          </w:tcPr>
          <w:p>
            <w:pPr>
              <w:rPr>
                <w:rFonts w:ascii="宋体" w:cs="宋体"/>
                <w:color w:val="000000"/>
                <w:sz w:val="24"/>
              </w:rPr>
            </w:pPr>
          </w:p>
        </w:tc>
        <w:tc>
          <w:tcPr>
            <w:tcW w:w="1093" w:type="dxa"/>
            <w:vAlign w:val="center"/>
          </w:tcPr>
          <w:p>
            <w:pPr>
              <w:jc w:val="left"/>
              <w:textAlignment w:val="center"/>
              <w:rPr>
                <w:rFonts w:ascii="宋体" w:cs="宋体"/>
                <w:color w:val="000000"/>
                <w:sz w:val="24"/>
              </w:rPr>
            </w:pPr>
            <w:r>
              <w:rPr>
                <w:rFonts w:hint="eastAsia" w:ascii="宋体" w:hAnsi="宋体" w:cs="宋体"/>
                <w:color w:val="000000"/>
                <w:kern w:val="0"/>
                <w:sz w:val="24"/>
              </w:rPr>
              <w:t>邮政编码</w:t>
            </w:r>
          </w:p>
        </w:tc>
        <w:tc>
          <w:tcPr>
            <w:tcW w:w="1997" w:type="dxa"/>
            <w:gridSpan w:val="2"/>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联系电话</w:t>
            </w:r>
          </w:p>
        </w:tc>
        <w:tc>
          <w:tcPr>
            <w:tcW w:w="3663" w:type="dxa"/>
            <w:gridSpan w:val="2"/>
            <w:vAlign w:val="center"/>
          </w:tcPr>
          <w:p>
            <w:pPr>
              <w:rPr>
                <w:rFonts w:ascii="宋体" w:cs="宋体"/>
                <w:color w:val="000000"/>
                <w:sz w:val="24"/>
              </w:rPr>
            </w:pPr>
          </w:p>
        </w:tc>
        <w:tc>
          <w:tcPr>
            <w:tcW w:w="1093" w:type="dxa"/>
            <w:vAlign w:val="center"/>
          </w:tcPr>
          <w:p>
            <w:pPr>
              <w:jc w:val="left"/>
              <w:textAlignment w:val="center"/>
              <w:rPr>
                <w:rFonts w:ascii="宋体" w:cs="宋体"/>
                <w:color w:val="000000"/>
                <w:sz w:val="24"/>
              </w:rPr>
            </w:pPr>
            <w:r>
              <w:rPr>
                <w:rFonts w:hint="eastAsia" w:ascii="宋体" w:hAnsi="宋体" w:cs="宋体"/>
                <w:color w:val="000000"/>
                <w:kern w:val="0"/>
                <w:sz w:val="24"/>
              </w:rPr>
              <w:t>电子邮箱</w:t>
            </w:r>
          </w:p>
        </w:tc>
        <w:tc>
          <w:tcPr>
            <w:tcW w:w="1997" w:type="dxa"/>
            <w:gridSpan w:val="2"/>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9294" w:type="dxa"/>
            <w:gridSpan w:val="6"/>
            <w:vAlign w:val="center"/>
          </w:tcPr>
          <w:p>
            <w:pPr>
              <w:jc w:val="left"/>
              <w:textAlignment w:val="center"/>
              <w:rPr>
                <w:rFonts w:ascii="宋体" w:cs="宋体"/>
                <w:b/>
                <w:color w:val="000000"/>
                <w:sz w:val="24"/>
              </w:rPr>
            </w:pPr>
            <w:r>
              <w:rPr>
                <w:rFonts w:ascii="宋体" w:hAnsi="宋体" w:cs="宋体"/>
                <w:b/>
                <w:color w:val="000000"/>
                <w:kern w:val="0"/>
                <w:sz w:val="24"/>
              </w:rPr>
              <w:t>2.</w:t>
            </w:r>
            <w:r>
              <w:rPr>
                <w:rFonts w:hint="eastAsia" w:ascii="宋体" w:hAnsi="宋体" w:cs="宋体"/>
                <w:b/>
                <w:color w:val="000000"/>
                <w:kern w:val="0"/>
                <w:sz w:val="24"/>
              </w:rPr>
              <w:t>执业医师资格相关信息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医师资格证书号码</w:t>
            </w:r>
          </w:p>
        </w:tc>
        <w:tc>
          <w:tcPr>
            <w:tcW w:w="3663" w:type="dxa"/>
            <w:gridSpan w:val="2"/>
            <w:vAlign w:val="center"/>
          </w:tcPr>
          <w:p>
            <w:pPr>
              <w:rPr>
                <w:rFonts w:ascii="宋体" w:cs="宋体"/>
                <w:color w:val="000000"/>
                <w:sz w:val="24"/>
              </w:rPr>
            </w:pPr>
          </w:p>
        </w:tc>
        <w:tc>
          <w:tcPr>
            <w:tcW w:w="1093" w:type="dxa"/>
            <w:vAlign w:val="center"/>
          </w:tcPr>
          <w:p>
            <w:pPr>
              <w:jc w:val="left"/>
              <w:textAlignment w:val="center"/>
              <w:rPr>
                <w:rFonts w:ascii="宋体" w:cs="宋体"/>
                <w:color w:val="000000"/>
                <w:sz w:val="24"/>
              </w:rPr>
            </w:pPr>
            <w:r>
              <w:rPr>
                <w:rFonts w:hint="eastAsia" w:ascii="宋体" w:hAnsi="宋体" w:cs="宋体"/>
                <w:color w:val="000000"/>
                <w:kern w:val="0"/>
                <w:sz w:val="24"/>
              </w:rPr>
              <w:t>发证时间</w:t>
            </w:r>
          </w:p>
        </w:tc>
        <w:tc>
          <w:tcPr>
            <w:tcW w:w="1997" w:type="dxa"/>
            <w:gridSpan w:val="2"/>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执业类别及范围</w:t>
            </w:r>
          </w:p>
        </w:tc>
        <w:tc>
          <w:tcPr>
            <w:tcW w:w="6753" w:type="dxa"/>
            <w:gridSpan w:val="5"/>
            <w:vAlign w:val="center"/>
          </w:tcPr>
          <w:p>
            <w:pPr>
              <w:jc w:val="left"/>
              <w:textAlignment w:val="center"/>
              <w:rPr>
                <w:rFonts w:ascii="宋体" w:cs="宋体"/>
                <w:color w:val="000000"/>
                <w:sz w:val="24"/>
              </w:rPr>
            </w:pPr>
            <w:r>
              <w:rPr>
                <w:rFonts w:hint="eastAsia" w:ascii="宋体" w:hAnsi="宋体" w:cs="宋体"/>
                <w:color w:val="000000"/>
                <w:kern w:val="0"/>
                <w:sz w:val="24"/>
              </w:rPr>
              <w:t>□临床类别全科医学专业</w:t>
            </w:r>
            <w:r>
              <w:rPr>
                <w:rFonts w:ascii="宋体" w:hAnsi="宋体" w:cs="宋体"/>
                <w:color w:val="000000"/>
                <w:kern w:val="0"/>
                <w:sz w:val="24"/>
              </w:rPr>
              <w:t xml:space="preserve">      </w:t>
            </w:r>
            <w:r>
              <w:rPr>
                <w:rFonts w:hint="eastAsia" w:ascii="宋体" w:hAnsi="宋体" w:cs="宋体"/>
                <w:color w:val="000000"/>
                <w:kern w:val="0"/>
                <w:sz w:val="24"/>
              </w:rPr>
              <w:t>□中医类别全科医学专业</w:t>
            </w:r>
            <w:r>
              <w:rPr>
                <w:rFonts w:ascii="宋体" w:hAnsi="宋体" w:cs="宋体"/>
                <w:color w:val="000000"/>
                <w:kern w:val="0"/>
                <w:sz w:val="24"/>
              </w:rPr>
              <w:t xml:space="preserve">     </w:t>
            </w:r>
            <w:r>
              <w:rPr>
                <w:rFonts w:hint="eastAsia" w:ascii="宋体" w:hAnsi="宋体" w:cs="宋体"/>
                <w:color w:val="000000"/>
                <w:kern w:val="0"/>
                <w:sz w:val="24"/>
              </w:rPr>
              <w:t>□临床类别内科专业</w:t>
            </w:r>
            <w:r>
              <w:rPr>
                <w:rFonts w:ascii="宋体" w:hAnsi="宋体" w:cs="宋体"/>
                <w:color w:val="000000"/>
                <w:kern w:val="0"/>
                <w:sz w:val="24"/>
              </w:rPr>
              <w:t xml:space="preserve">    </w:t>
            </w:r>
            <w:r>
              <w:rPr>
                <w:rFonts w:hint="eastAsia" w:ascii="宋体" w:hAnsi="宋体" w:cs="宋体"/>
                <w:color w:val="000000"/>
                <w:kern w:val="0"/>
                <w:sz w:val="24"/>
              </w:rPr>
              <w:t>□中医类别中医专业</w:t>
            </w:r>
            <w:r>
              <w:rPr>
                <w:rFonts w:ascii="宋体" w:hAnsi="宋体" w:cs="宋体"/>
                <w:color w:val="000000"/>
                <w:kern w:val="0"/>
                <w:sz w:val="24"/>
              </w:rPr>
              <w:t xml:space="preserve">    </w:t>
            </w:r>
            <w:r>
              <w:rPr>
                <w:rFonts w:hint="eastAsia" w:ascii="宋体" w:hAnsi="宋体" w:cs="宋体"/>
                <w:color w:val="000000"/>
                <w:kern w:val="0"/>
                <w:sz w:val="24"/>
              </w:rPr>
              <w:t>□其他，请注明：</w:t>
            </w:r>
            <w:r>
              <w:rPr>
                <w:rFonts w:ascii="宋体" w:hAnsi="宋体" w:cs="宋体"/>
                <w:color w:val="000000"/>
                <w:kern w:val="0"/>
                <w:sz w:val="24"/>
              </w:rPr>
              <w:t xml:space="preserve"> </w:t>
            </w:r>
            <w:r>
              <w:rPr>
                <w:rFonts w:ascii="宋体" w:hAnsi="宋体" w:cs="宋体"/>
                <w:color w:val="000000"/>
                <w:kern w:val="0"/>
                <w:sz w:val="24"/>
                <w:u w:val="single"/>
              </w:rPr>
              <w:t xml:space="preserve">                                       </w:t>
            </w:r>
            <w:r>
              <w:rPr>
                <w:rFonts w:ascii="宋体" w:hAnsi="宋体"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受聘前是否注册执业</w:t>
            </w:r>
          </w:p>
        </w:tc>
        <w:tc>
          <w:tcPr>
            <w:tcW w:w="6753" w:type="dxa"/>
            <w:gridSpan w:val="5"/>
            <w:vAlign w:val="center"/>
          </w:tcPr>
          <w:p>
            <w:pPr>
              <w:jc w:val="left"/>
              <w:textAlignment w:val="center"/>
              <w:rPr>
                <w:rFonts w:ascii="宋体" w:cs="宋体"/>
                <w:color w:val="000000"/>
                <w:sz w:val="24"/>
              </w:rPr>
            </w:pPr>
            <w:r>
              <w:rPr>
                <w:rFonts w:hint="eastAsia" w:ascii="宋体" w:hAnsi="宋体" w:cs="宋体"/>
                <w:color w:val="000000"/>
                <w:kern w:val="0"/>
                <w:sz w:val="24"/>
              </w:rPr>
              <w:t>□是</w:t>
            </w:r>
            <w:r>
              <w:rPr>
                <w:rFonts w:ascii="宋体" w:hAnsi="宋体" w:cs="宋体"/>
                <w:color w:val="000000"/>
                <w:kern w:val="0"/>
                <w:sz w:val="24"/>
              </w:rPr>
              <w:t xml:space="preserve">           </w:t>
            </w:r>
            <w:r>
              <w:rPr>
                <w:rFonts w:hint="eastAsia" w:ascii="宋体" w:hAnsi="宋体"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医师执业证书编码</w:t>
            </w:r>
          </w:p>
        </w:tc>
        <w:tc>
          <w:tcPr>
            <w:tcW w:w="2036" w:type="dxa"/>
            <w:vAlign w:val="center"/>
          </w:tcPr>
          <w:p>
            <w:pPr>
              <w:rPr>
                <w:rFonts w:ascii="宋体" w:cs="宋体"/>
                <w:color w:val="000000"/>
                <w:sz w:val="24"/>
              </w:rPr>
            </w:pPr>
          </w:p>
        </w:tc>
        <w:tc>
          <w:tcPr>
            <w:tcW w:w="1627" w:type="dxa"/>
            <w:vAlign w:val="center"/>
          </w:tcPr>
          <w:p>
            <w:pPr>
              <w:jc w:val="left"/>
              <w:textAlignment w:val="center"/>
              <w:rPr>
                <w:rFonts w:ascii="宋体" w:cs="宋体"/>
                <w:color w:val="000000"/>
                <w:sz w:val="24"/>
              </w:rPr>
            </w:pPr>
            <w:r>
              <w:rPr>
                <w:rFonts w:hint="eastAsia" w:ascii="宋体" w:hAnsi="宋体" w:cs="宋体"/>
                <w:color w:val="000000"/>
                <w:kern w:val="0"/>
                <w:sz w:val="24"/>
              </w:rPr>
              <w:t>发证时间</w:t>
            </w:r>
          </w:p>
        </w:tc>
        <w:tc>
          <w:tcPr>
            <w:tcW w:w="3090" w:type="dxa"/>
            <w:gridSpan w:val="3"/>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8"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执业地点</w:t>
            </w:r>
          </w:p>
        </w:tc>
        <w:tc>
          <w:tcPr>
            <w:tcW w:w="2036" w:type="dxa"/>
            <w:vAlign w:val="center"/>
          </w:tcPr>
          <w:p>
            <w:pPr>
              <w:rPr>
                <w:rFonts w:ascii="宋体" w:cs="宋体"/>
                <w:color w:val="000000"/>
                <w:sz w:val="24"/>
              </w:rPr>
            </w:pPr>
          </w:p>
        </w:tc>
        <w:tc>
          <w:tcPr>
            <w:tcW w:w="1627" w:type="dxa"/>
            <w:vAlign w:val="center"/>
          </w:tcPr>
          <w:p>
            <w:pPr>
              <w:jc w:val="left"/>
              <w:textAlignment w:val="center"/>
              <w:rPr>
                <w:rFonts w:ascii="宋体" w:cs="宋体"/>
                <w:color w:val="000000"/>
                <w:sz w:val="24"/>
              </w:rPr>
            </w:pPr>
            <w:r>
              <w:rPr>
                <w:rFonts w:hint="eastAsia" w:ascii="宋体" w:hAnsi="宋体" w:cs="宋体"/>
                <w:color w:val="000000"/>
                <w:kern w:val="0"/>
                <w:sz w:val="24"/>
              </w:rPr>
              <w:t>执业范围</w:t>
            </w:r>
          </w:p>
        </w:tc>
        <w:tc>
          <w:tcPr>
            <w:tcW w:w="3090" w:type="dxa"/>
            <w:gridSpan w:val="3"/>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9294" w:type="dxa"/>
            <w:gridSpan w:val="6"/>
            <w:vAlign w:val="center"/>
          </w:tcPr>
          <w:p>
            <w:pPr>
              <w:jc w:val="left"/>
              <w:textAlignment w:val="center"/>
              <w:rPr>
                <w:rFonts w:ascii="宋体" w:cs="宋体"/>
                <w:b/>
                <w:color w:val="000000"/>
                <w:sz w:val="24"/>
              </w:rPr>
            </w:pPr>
            <w:r>
              <w:rPr>
                <w:rFonts w:ascii="宋体" w:hAnsi="宋体" w:cs="宋体"/>
                <w:b/>
                <w:color w:val="000000"/>
                <w:kern w:val="0"/>
                <w:sz w:val="24"/>
              </w:rPr>
              <w:t>3.</w:t>
            </w:r>
            <w:r>
              <w:rPr>
                <w:rFonts w:hint="eastAsia" w:ascii="宋体" w:hAnsi="宋体" w:cs="宋体"/>
                <w:b/>
                <w:color w:val="000000"/>
                <w:kern w:val="0"/>
                <w:sz w:val="24"/>
              </w:rPr>
              <w:t>教育培训情况（从中专填起，含进修和培训）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2541" w:type="dxa"/>
            <w:vAlign w:val="center"/>
          </w:tcPr>
          <w:p>
            <w:pPr>
              <w:jc w:val="center"/>
              <w:textAlignment w:val="center"/>
              <w:rPr>
                <w:rFonts w:ascii="宋体" w:cs="宋体"/>
                <w:color w:val="000000"/>
                <w:sz w:val="24"/>
              </w:rPr>
            </w:pPr>
            <w:r>
              <w:rPr>
                <w:rFonts w:hint="eastAsia" w:ascii="宋体" w:hAnsi="宋体" w:cs="宋体"/>
                <w:color w:val="000000"/>
                <w:kern w:val="0"/>
                <w:sz w:val="24"/>
              </w:rPr>
              <w:t>起始年月</w:t>
            </w:r>
          </w:p>
        </w:tc>
        <w:tc>
          <w:tcPr>
            <w:tcW w:w="2036" w:type="dxa"/>
            <w:vAlign w:val="center"/>
          </w:tcPr>
          <w:p>
            <w:pPr>
              <w:jc w:val="center"/>
              <w:textAlignment w:val="center"/>
              <w:rPr>
                <w:rFonts w:ascii="宋体" w:cs="宋体"/>
                <w:color w:val="000000"/>
                <w:sz w:val="24"/>
              </w:rPr>
            </w:pPr>
            <w:r>
              <w:rPr>
                <w:rFonts w:hint="eastAsia" w:ascii="宋体" w:hAnsi="宋体" w:cs="宋体"/>
                <w:color w:val="000000"/>
                <w:kern w:val="0"/>
                <w:sz w:val="24"/>
              </w:rPr>
              <w:t>终止年月</w:t>
            </w:r>
          </w:p>
        </w:tc>
        <w:tc>
          <w:tcPr>
            <w:tcW w:w="1627" w:type="dxa"/>
            <w:vAlign w:val="center"/>
          </w:tcPr>
          <w:p>
            <w:pPr>
              <w:jc w:val="center"/>
              <w:textAlignment w:val="center"/>
              <w:rPr>
                <w:rFonts w:ascii="宋体" w:cs="宋体"/>
                <w:color w:val="000000"/>
                <w:sz w:val="24"/>
              </w:rPr>
            </w:pPr>
            <w:r>
              <w:rPr>
                <w:rFonts w:hint="eastAsia" w:ascii="宋体" w:hAnsi="宋体" w:cs="宋体"/>
                <w:color w:val="000000"/>
                <w:kern w:val="0"/>
                <w:sz w:val="24"/>
              </w:rPr>
              <w:t>学校名称</w:t>
            </w:r>
          </w:p>
        </w:tc>
        <w:tc>
          <w:tcPr>
            <w:tcW w:w="1093" w:type="dxa"/>
            <w:vAlign w:val="center"/>
          </w:tcPr>
          <w:p>
            <w:pPr>
              <w:jc w:val="center"/>
              <w:textAlignment w:val="center"/>
              <w:rPr>
                <w:rFonts w:ascii="宋体" w:cs="宋体"/>
                <w:color w:val="000000"/>
                <w:sz w:val="24"/>
              </w:rPr>
            </w:pPr>
            <w:r>
              <w:rPr>
                <w:rFonts w:hint="eastAsia" w:ascii="宋体" w:hAnsi="宋体" w:cs="宋体"/>
                <w:color w:val="000000"/>
                <w:kern w:val="0"/>
                <w:sz w:val="24"/>
              </w:rPr>
              <w:t>专业</w:t>
            </w:r>
          </w:p>
        </w:tc>
        <w:tc>
          <w:tcPr>
            <w:tcW w:w="1997" w:type="dxa"/>
            <w:gridSpan w:val="2"/>
            <w:vAlign w:val="center"/>
          </w:tcPr>
          <w:p>
            <w:pPr>
              <w:jc w:val="center"/>
              <w:textAlignment w:val="center"/>
              <w:rPr>
                <w:rFonts w:ascii="宋体" w:cs="宋体"/>
                <w:color w:val="000000"/>
                <w:sz w:val="24"/>
              </w:rPr>
            </w:pPr>
            <w:r>
              <w:rPr>
                <w:rFonts w:hint="eastAsia" w:ascii="宋体" w:hAnsi="宋体" w:cs="宋体"/>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2541" w:type="dxa"/>
            <w:vAlign w:val="center"/>
          </w:tcPr>
          <w:p>
            <w:pPr>
              <w:rPr>
                <w:rFonts w:ascii="宋体" w:cs="宋体"/>
                <w:color w:val="000000"/>
                <w:sz w:val="24"/>
              </w:rPr>
            </w:pPr>
          </w:p>
        </w:tc>
        <w:tc>
          <w:tcPr>
            <w:tcW w:w="2036" w:type="dxa"/>
            <w:vAlign w:val="center"/>
          </w:tcPr>
          <w:p>
            <w:pPr>
              <w:rPr>
                <w:rFonts w:ascii="宋体" w:cs="宋体"/>
                <w:color w:val="000000"/>
                <w:sz w:val="24"/>
              </w:rPr>
            </w:pPr>
          </w:p>
        </w:tc>
        <w:tc>
          <w:tcPr>
            <w:tcW w:w="1627" w:type="dxa"/>
            <w:vAlign w:val="center"/>
          </w:tcPr>
          <w:p>
            <w:pPr>
              <w:rPr>
                <w:rFonts w:ascii="宋体" w:cs="宋体"/>
                <w:color w:val="000000"/>
                <w:sz w:val="24"/>
              </w:rPr>
            </w:pPr>
          </w:p>
        </w:tc>
        <w:tc>
          <w:tcPr>
            <w:tcW w:w="1093" w:type="dxa"/>
            <w:vAlign w:val="center"/>
          </w:tcPr>
          <w:p>
            <w:pPr>
              <w:rPr>
                <w:rFonts w:ascii="宋体" w:cs="宋体"/>
                <w:color w:val="000000"/>
                <w:sz w:val="24"/>
              </w:rPr>
            </w:pPr>
          </w:p>
        </w:tc>
        <w:tc>
          <w:tcPr>
            <w:tcW w:w="1997" w:type="dxa"/>
            <w:gridSpan w:val="2"/>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2541" w:type="dxa"/>
            <w:vAlign w:val="center"/>
          </w:tcPr>
          <w:p>
            <w:pPr>
              <w:rPr>
                <w:rFonts w:ascii="宋体" w:cs="宋体"/>
                <w:color w:val="000000"/>
                <w:sz w:val="24"/>
              </w:rPr>
            </w:pPr>
          </w:p>
        </w:tc>
        <w:tc>
          <w:tcPr>
            <w:tcW w:w="2036" w:type="dxa"/>
            <w:vAlign w:val="center"/>
          </w:tcPr>
          <w:p>
            <w:pPr>
              <w:rPr>
                <w:rFonts w:ascii="宋体" w:cs="宋体"/>
                <w:color w:val="000000"/>
                <w:sz w:val="24"/>
              </w:rPr>
            </w:pPr>
          </w:p>
        </w:tc>
        <w:tc>
          <w:tcPr>
            <w:tcW w:w="1627" w:type="dxa"/>
            <w:vAlign w:val="center"/>
          </w:tcPr>
          <w:p>
            <w:pPr>
              <w:rPr>
                <w:rFonts w:ascii="宋体" w:cs="宋体"/>
                <w:color w:val="000000"/>
                <w:sz w:val="24"/>
              </w:rPr>
            </w:pPr>
          </w:p>
        </w:tc>
        <w:tc>
          <w:tcPr>
            <w:tcW w:w="1093" w:type="dxa"/>
            <w:vAlign w:val="center"/>
          </w:tcPr>
          <w:p>
            <w:pPr>
              <w:rPr>
                <w:rFonts w:ascii="宋体" w:cs="宋体"/>
                <w:color w:val="000000"/>
                <w:sz w:val="24"/>
              </w:rPr>
            </w:pPr>
          </w:p>
        </w:tc>
        <w:tc>
          <w:tcPr>
            <w:tcW w:w="1997" w:type="dxa"/>
            <w:gridSpan w:val="2"/>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2541" w:type="dxa"/>
            <w:vAlign w:val="center"/>
          </w:tcPr>
          <w:p>
            <w:pPr>
              <w:rPr>
                <w:rFonts w:ascii="宋体" w:cs="宋体"/>
                <w:color w:val="000000"/>
                <w:sz w:val="24"/>
              </w:rPr>
            </w:pPr>
          </w:p>
        </w:tc>
        <w:tc>
          <w:tcPr>
            <w:tcW w:w="2036" w:type="dxa"/>
            <w:vAlign w:val="center"/>
          </w:tcPr>
          <w:p>
            <w:pPr>
              <w:rPr>
                <w:rFonts w:ascii="宋体" w:cs="宋体"/>
                <w:color w:val="000000"/>
                <w:sz w:val="24"/>
              </w:rPr>
            </w:pPr>
          </w:p>
        </w:tc>
        <w:tc>
          <w:tcPr>
            <w:tcW w:w="1627" w:type="dxa"/>
            <w:vAlign w:val="center"/>
          </w:tcPr>
          <w:p>
            <w:pPr>
              <w:rPr>
                <w:rFonts w:ascii="宋体" w:cs="宋体"/>
                <w:color w:val="000000"/>
                <w:sz w:val="24"/>
              </w:rPr>
            </w:pPr>
          </w:p>
        </w:tc>
        <w:tc>
          <w:tcPr>
            <w:tcW w:w="1093" w:type="dxa"/>
            <w:vAlign w:val="center"/>
          </w:tcPr>
          <w:p>
            <w:pPr>
              <w:rPr>
                <w:rFonts w:ascii="宋体" w:cs="宋体"/>
                <w:color w:val="000000"/>
                <w:sz w:val="24"/>
              </w:rPr>
            </w:pPr>
          </w:p>
        </w:tc>
        <w:tc>
          <w:tcPr>
            <w:tcW w:w="1997" w:type="dxa"/>
            <w:gridSpan w:val="2"/>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3" w:hRule="atLeast"/>
          <w:jc w:val="center"/>
        </w:trPr>
        <w:tc>
          <w:tcPr>
            <w:tcW w:w="7297" w:type="dxa"/>
            <w:gridSpan w:val="4"/>
            <w:vAlign w:val="center"/>
          </w:tcPr>
          <w:p>
            <w:pPr>
              <w:jc w:val="left"/>
              <w:textAlignment w:val="center"/>
              <w:rPr>
                <w:rFonts w:ascii="宋体" w:cs="宋体"/>
                <w:b/>
                <w:color w:val="000000"/>
                <w:sz w:val="24"/>
              </w:rPr>
            </w:pPr>
            <w:r>
              <w:rPr>
                <w:rFonts w:ascii="宋体" w:hAnsi="宋体" w:cs="宋体"/>
                <w:b/>
                <w:color w:val="000000"/>
                <w:kern w:val="0"/>
                <w:sz w:val="24"/>
              </w:rPr>
              <w:t>4.</w:t>
            </w:r>
            <w:r>
              <w:rPr>
                <w:rFonts w:hint="eastAsia" w:ascii="宋体" w:hAnsi="宋体" w:cs="宋体"/>
                <w:b/>
                <w:color w:val="000000"/>
                <w:kern w:val="0"/>
                <w:sz w:val="24"/>
              </w:rPr>
              <w:t>是否参加过省级卫生健康行政部门（含中医药管理部门）组织的全科医生规范化培养、转岗培训或者岗位培训</w:t>
            </w:r>
          </w:p>
        </w:tc>
        <w:tc>
          <w:tcPr>
            <w:tcW w:w="1997" w:type="dxa"/>
            <w:gridSpan w:val="2"/>
            <w:vAlign w:val="center"/>
          </w:tcPr>
          <w:p>
            <w:pPr>
              <w:jc w:val="left"/>
              <w:textAlignment w:val="center"/>
              <w:rPr>
                <w:rFonts w:ascii="宋体" w:cs="宋体"/>
                <w:color w:val="000000"/>
                <w:sz w:val="24"/>
              </w:rPr>
            </w:pPr>
            <w:r>
              <w:rPr>
                <w:rFonts w:hint="eastAsia" w:ascii="宋体" w:hAnsi="宋体" w:cs="宋体"/>
                <w:color w:val="000000"/>
                <w:kern w:val="0"/>
                <w:sz w:val="24"/>
              </w:rPr>
              <w:t>□是</w:t>
            </w:r>
            <w:r>
              <w:rPr>
                <w:rFonts w:ascii="宋体" w:hAnsi="宋体" w:cs="宋体"/>
                <w:color w:val="000000"/>
                <w:kern w:val="0"/>
                <w:sz w:val="24"/>
              </w:rPr>
              <w:t xml:space="preserve">            </w:t>
            </w:r>
            <w:r>
              <w:rPr>
                <w:rFonts w:hint="eastAsia" w:ascii="宋体" w:hAnsi="宋体"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4577" w:type="dxa"/>
            <w:gridSpan w:val="2"/>
            <w:vAlign w:val="center"/>
          </w:tcPr>
          <w:p>
            <w:pPr>
              <w:jc w:val="left"/>
              <w:textAlignment w:val="center"/>
              <w:rPr>
                <w:rFonts w:ascii="宋体" w:cs="宋体"/>
                <w:color w:val="000000"/>
                <w:sz w:val="24"/>
              </w:rPr>
            </w:pPr>
            <w:r>
              <w:rPr>
                <w:rFonts w:hint="eastAsia" w:ascii="宋体" w:hAnsi="宋体" w:cs="宋体"/>
                <w:color w:val="000000"/>
                <w:kern w:val="0"/>
                <w:sz w:val="24"/>
              </w:rPr>
              <w:t>考核是否合格</w:t>
            </w:r>
          </w:p>
        </w:tc>
        <w:tc>
          <w:tcPr>
            <w:tcW w:w="4717" w:type="dxa"/>
            <w:gridSpan w:val="4"/>
            <w:vAlign w:val="center"/>
          </w:tcPr>
          <w:p>
            <w:pPr>
              <w:jc w:val="left"/>
              <w:textAlignment w:val="center"/>
              <w:rPr>
                <w:rFonts w:ascii="宋体" w:cs="宋体"/>
                <w:color w:val="000000"/>
                <w:sz w:val="24"/>
              </w:rPr>
            </w:pPr>
            <w:r>
              <w:rPr>
                <w:rFonts w:hint="eastAsia" w:ascii="宋体" w:hAnsi="宋体" w:cs="宋体"/>
                <w:color w:val="000000"/>
                <w:kern w:val="0"/>
                <w:sz w:val="24"/>
              </w:rPr>
              <w:t>□是</w:t>
            </w:r>
            <w:r>
              <w:rPr>
                <w:rFonts w:ascii="宋体" w:hAnsi="宋体" w:cs="宋体"/>
                <w:color w:val="000000"/>
                <w:kern w:val="0"/>
                <w:sz w:val="24"/>
              </w:rPr>
              <w:t xml:space="preserve">           </w:t>
            </w:r>
            <w:r>
              <w:rPr>
                <w:rFonts w:hint="eastAsia" w:ascii="宋体" w:hAnsi="宋体" w:cs="宋体"/>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9294" w:type="dxa"/>
            <w:gridSpan w:val="6"/>
            <w:vAlign w:val="center"/>
          </w:tcPr>
          <w:p>
            <w:pPr>
              <w:jc w:val="left"/>
              <w:textAlignment w:val="center"/>
              <w:rPr>
                <w:rFonts w:ascii="宋体" w:cs="宋体"/>
                <w:b/>
                <w:color w:val="000000"/>
                <w:sz w:val="24"/>
              </w:rPr>
            </w:pPr>
            <w:r>
              <w:rPr>
                <w:rFonts w:ascii="宋体" w:hAnsi="宋体" w:cs="宋体"/>
                <w:b/>
                <w:color w:val="000000"/>
                <w:kern w:val="0"/>
                <w:sz w:val="24"/>
              </w:rPr>
              <w:t>5.</w:t>
            </w:r>
            <w:r>
              <w:rPr>
                <w:rFonts w:hint="eastAsia" w:ascii="宋体" w:hAnsi="宋体" w:cs="宋体"/>
                <w:b/>
                <w:color w:val="000000"/>
                <w:kern w:val="0"/>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2541" w:type="dxa"/>
            <w:vAlign w:val="center"/>
          </w:tcPr>
          <w:p>
            <w:pPr>
              <w:jc w:val="center"/>
              <w:textAlignment w:val="center"/>
              <w:rPr>
                <w:rFonts w:ascii="宋体" w:cs="宋体"/>
                <w:color w:val="000000"/>
                <w:sz w:val="24"/>
              </w:rPr>
            </w:pPr>
            <w:r>
              <w:rPr>
                <w:rFonts w:hint="eastAsia" w:ascii="宋体" w:hAnsi="宋体" w:cs="宋体"/>
                <w:color w:val="000000"/>
                <w:kern w:val="0"/>
                <w:sz w:val="24"/>
              </w:rPr>
              <w:t>起始年月</w:t>
            </w:r>
          </w:p>
        </w:tc>
        <w:tc>
          <w:tcPr>
            <w:tcW w:w="2036" w:type="dxa"/>
            <w:vAlign w:val="center"/>
          </w:tcPr>
          <w:p>
            <w:pPr>
              <w:jc w:val="center"/>
              <w:textAlignment w:val="center"/>
              <w:rPr>
                <w:rFonts w:ascii="宋体" w:cs="宋体"/>
                <w:color w:val="000000"/>
                <w:sz w:val="24"/>
              </w:rPr>
            </w:pPr>
            <w:r>
              <w:rPr>
                <w:rFonts w:hint="eastAsia" w:ascii="宋体" w:hAnsi="宋体" w:cs="宋体"/>
                <w:color w:val="000000"/>
                <w:kern w:val="0"/>
                <w:sz w:val="24"/>
              </w:rPr>
              <w:t>终止年月</w:t>
            </w:r>
          </w:p>
        </w:tc>
        <w:tc>
          <w:tcPr>
            <w:tcW w:w="1627" w:type="dxa"/>
            <w:vAlign w:val="center"/>
          </w:tcPr>
          <w:p>
            <w:pPr>
              <w:jc w:val="center"/>
              <w:textAlignment w:val="center"/>
              <w:rPr>
                <w:rFonts w:ascii="宋体" w:cs="宋体"/>
                <w:color w:val="000000"/>
                <w:sz w:val="24"/>
              </w:rPr>
            </w:pPr>
            <w:r>
              <w:rPr>
                <w:rFonts w:hint="eastAsia" w:ascii="宋体" w:hAnsi="宋体" w:cs="宋体"/>
                <w:color w:val="000000"/>
                <w:kern w:val="0"/>
                <w:sz w:val="24"/>
              </w:rPr>
              <w:t>工作单位</w:t>
            </w:r>
          </w:p>
        </w:tc>
        <w:tc>
          <w:tcPr>
            <w:tcW w:w="1093" w:type="dxa"/>
            <w:vAlign w:val="center"/>
          </w:tcPr>
          <w:p>
            <w:pPr>
              <w:jc w:val="center"/>
              <w:textAlignment w:val="center"/>
              <w:rPr>
                <w:rFonts w:ascii="宋体" w:cs="宋体"/>
                <w:color w:val="000000"/>
                <w:sz w:val="24"/>
              </w:rPr>
            </w:pPr>
            <w:r>
              <w:rPr>
                <w:rFonts w:hint="eastAsia" w:ascii="宋体" w:hAnsi="宋体" w:cs="宋体"/>
                <w:color w:val="000000"/>
                <w:kern w:val="0"/>
                <w:sz w:val="24"/>
              </w:rPr>
              <w:t>职称</w:t>
            </w:r>
          </w:p>
        </w:tc>
        <w:tc>
          <w:tcPr>
            <w:tcW w:w="1997" w:type="dxa"/>
            <w:gridSpan w:val="2"/>
            <w:vAlign w:val="center"/>
          </w:tcPr>
          <w:p>
            <w:pPr>
              <w:jc w:val="center"/>
              <w:textAlignment w:val="center"/>
              <w:rPr>
                <w:rFonts w:ascii="宋体" w:cs="宋体"/>
                <w:color w:val="000000"/>
                <w:sz w:val="24"/>
              </w:rPr>
            </w:pPr>
            <w:r>
              <w:rPr>
                <w:rFonts w:hint="eastAsia" w:ascii="宋体" w:hAnsi="宋体" w:cs="宋体"/>
                <w:color w:val="000000"/>
                <w:kern w:val="0"/>
                <w:sz w:val="24"/>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2541" w:type="dxa"/>
            <w:vAlign w:val="center"/>
          </w:tcPr>
          <w:p>
            <w:pPr>
              <w:rPr>
                <w:rFonts w:ascii="宋体" w:cs="宋体"/>
                <w:color w:val="000000"/>
                <w:sz w:val="24"/>
              </w:rPr>
            </w:pPr>
          </w:p>
        </w:tc>
        <w:tc>
          <w:tcPr>
            <w:tcW w:w="2036" w:type="dxa"/>
            <w:vAlign w:val="center"/>
          </w:tcPr>
          <w:p>
            <w:pPr>
              <w:rPr>
                <w:rFonts w:ascii="宋体" w:cs="宋体"/>
                <w:color w:val="000000"/>
                <w:sz w:val="24"/>
              </w:rPr>
            </w:pPr>
          </w:p>
        </w:tc>
        <w:tc>
          <w:tcPr>
            <w:tcW w:w="1627" w:type="dxa"/>
            <w:vAlign w:val="center"/>
          </w:tcPr>
          <w:p>
            <w:pPr>
              <w:rPr>
                <w:rFonts w:ascii="宋体" w:cs="宋体"/>
                <w:color w:val="000000"/>
                <w:sz w:val="24"/>
              </w:rPr>
            </w:pPr>
          </w:p>
        </w:tc>
        <w:tc>
          <w:tcPr>
            <w:tcW w:w="1093" w:type="dxa"/>
            <w:vAlign w:val="center"/>
          </w:tcPr>
          <w:p>
            <w:pPr>
              <w:rPr>
                <w:rFonts w:ascii="宋体" w:cs="宋体"/>
                <w:color w:val="000000"/>
                <w:sz w:val="24"/>
              </w:rPr>
            </w:pPr>
          </w:p>
        </w:tc>
        <w:tc>
          <w:tcPr>
            <w:tcW w:w="1997" w:type="dxa"/>
            <w:gridSpan w:val="2"/>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2541" w:type="dxa"/>
            <w:vAlign w:val="center"/>
          </w:tcPr>
          <w:p>
            <w:pPr>
              <w:rPr>
                <w:rFonts w:ascii="宋体" w:cs="宋体"/>
                <w:color w:val="000000"/>
                <w:sz w:val="24"/>
              </w:rPr>
            </w:pPr>
          </w:p>
        </w:tc>
        <w:tc>
          <w:tcPr>
            <w:tcW w:w="2036" w:type="dxa"/>
            <w:vAlign w:val="center"/>
          </w:tcPr>
          <w:p>
            <w:pPr>
              <w:rPr>
                <w:rFonts w:ascii="宋体" w:cs="宋体"/>
                <w:color w:val="000000"/>
                <w:sz w:val="24"/>
              </w:rPr>
            </w:pPr>
          </w:p>
        </w:tc>
        <w:tc>
          <w:tcPr>
            <w:tcW w:w="1627" w:type="dxa"/>
            <w:vAlign w:val="center"/>
          </w:tcPr>
          <w:p>
            <w:pPr>
              <w:rPr>
                <w:rFonts w:ascii="宋体" w:cs="宋体"/>
                <w:color w:val="000000"/>
                <w:sz w:val="24"/>
              </w:rPr>
            </w:pPr>
          </w:p>
        </w:tc>
        <w:tc>
          <w:tcPr>
            <w:tcW w:w="1093" w:type="dxa"/>
            <w:vAlign w:val="center"/>
          </w:tcPr>
          <w:p>
            <w:pPr>
              <w:rPr>
                <w:rFonts w:ascii="宋体" w:cs="宋体"/>
                <w:color w:val="000000"/>
                <w:sz w:val="24"/>
              </w:rPr>
            </w:pPr>
          </w:p>
        </w:tc>
        <w:tc>
          <w:tcPr>
            <w:tcW w:w="1997" w:type="dxa"/>
            <w:gridSpan w:val="2"/>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2541" w:type="dxa"/>
            <w:vAlign w:val="center"/>
          </w:tcPr>
          <w:p>
            <w:pPr>
              <w:rPr>
                <w:rFonts w:ascii="宋体" w:cs="宋体"/>
                <w:color w:val="000000"/>
                <w:sz w:val="24"/>
              </w:rPr>
            </w:pPr>
          </w:p>
        </w:tc>
        <w:tc>
          <w:tcPr>
            <w:tcW w:w="2036" w:type="dxa"/>
            <w:vAlign w:val="center"/>
          </w:tcPr>
          <w:p>
            <w:pPr>
              <w:rPr>
                <w:rFonts w:ascii="宋体" w:cs="宋体"/>
                <w:color w:val="000000"/>
                <w:sz w:val="24"/>
              </w:rPr>
            </w:pPr>
          </w:p>
        </w:tc>
        <w:tc>
          <w:tcPr>
            <w:tcW w:w="1627" w:type="dxa"/>
            <w:vAlign w:val="center"/>
          </w:tcPr>
          <w:p>
            <w:pPr>
              <w:rPr>
                <w:rFonts w:ascii="宋体" w:cs="宋体"/>
                <w:color w:val="000000"/>
                <w:sz w:val="24"/>
              </w:rPr>
            </w:pPr>
          </w:p>
        </w:tc>
        <w:tc>
          <w:tcPr>
            <w:tcW w:w="1093" w:type="dxa"/>
            <w:vAlign w:val="center"/>
          </w:tcPr>
          <w:p>
            <w:pPr>
              <w:rPr>
                <w:rFonts w:ascii="宋体" w:cs="宋体"/>
                <w:color w:val="000000"/>
                <w:sz w:val="24"/>
              </w:rPr>
            </w:pPr>
          </w:p>
        </w:tc>
        <w:tc>
          <w:tcPr>
            <w:tcW w:w="1997" w:type="dxa"/>
            <w:gridSpan w:val="2"/>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9294" w:type="dxa"/>
            <w:gridSpan w:val="6"/>
            <w:vAlign w:val="center"/>
          </w:tcPr>
          <w:p>
            <w:pPr>
              <w:jc w:val="left"/>
              <w:textAlignment w:val="center"/>
              <w:rPr>
                <w:rFonts w:ascii="宋体" w:cs="宋体"/>
                <w:b/>
                <w:color w:val="000000"/>
                <w:sz w:val="24"/>
              </w:rPr>
            </w:pPr>
            <w:r>
              <w:rPr>
                <w:rFonts w:ascii="宋体" w:hAnsi="宋体" w:cs="宋体"/>
                <w:b/>
                <w:color w:val="000000"/>
                <w:kern w:val="0"/>
                <w:sz w:val="24"/>
              </w:rPr>
              <w:t>6.</w:t>
            </w:r>
            <w:r>
              <w:rPr>
                <w:rFonts w:hint="eastAsia" w:ascii="宋体" w:hAnsi="宋体" w:cs="宋体"/>
                <w:b/>
                <w:color w:val="000000"/>
                <w:kern w:val="0"/>
                <w:sz w:val="24"/>
              </w:rPr>
              <w:t>特岗全科医生所在乡镇卫生院基本情况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6"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乡镇卫生院名称</w:t>
            </w:r>
          </w:p>
        </w:tc>
        <w:tc>
          <w:tcPr>
            <w:tcW w:w="6753" w:type="dxa"/>
            <w:gridSpan w:val="5"/>
            <w:vAlign w:val="center"/>
          </w:tcPr>
          <w:p>
            <w:pPr>
              <w:jc w:val="left"/>
              <w:textAlignment w:val="center"/>
              <w:rPr>
                <w:rFonts w:ascii="宋体" w:cs="宋体"/>
                <w:color w:val="000000"/>
                <w:sz w:val="24"/>
                <w:u w:val="single"/>
              </w:rPr>
            </w:pPr>
            <w:r>
              <w:rPr>
                <w:rFonts w:ascii="宋体" w:hAnsi="宋体" w:cs="宋体"/>
                <w:color w:val="000000"/>
                <w:kern w:val="0"/>
                <w:sz w:val="24"/>
                <w:u w:val="single"/>
              </w:rPr>
              <w:t xml:space="preserve">              </w:t>
            </w:r>
            <w:r>
              <w:rPr>
                <w:rFonts w:hint="eastAsia" w:ascii="宋体" w:hAnsi="宋体" w:cs="宋体"/>
                <w:color w:val="000000"/>
                <w:kern w:val="0"/>
                <w:sz w:val="24"/>
              </w:rPr>
              <w:t>县（市、区）</w:t>
            </w:r>
            <w:r>
              <w:rPr>
                <w:rFonts w:ascii="宋体" w:hAnsi="宋体" w:cs="宋体"/>
                <w:color w:val="000000"/>
                <w:kern w:val="0"/>
                <w:sz w:val="24"/>
              </w:rPr>
              <w:t xml:space="preserve"> </w:t>
            </w:r>
            <w:r>
              <w:rPr>
                <w:rFonts w:ascii="宋体" w:hAnsi="宋体" w:cs="宋体"/>
                <w:color w:val="000000"/>
                <w:kern w:val="0"/>
                <w:sz w:val="24"/>
                <w:u w:val="single"/>
              </w:rPr>
              <w:t xml:space="preserve">                  </w:t>
            </w:r>
            <w:r>
              <w:rPr>
                <w:rFonts w:hint="eastAsia" w:ascii="宋体" w:hAnsi="宋体" w:cs="宋体"/>
                <w:color w:val="000000"/>
                <w:kern w:val="0"/>
                <w:sz w:val="24"/>
              </w:rPr>
              <w:t>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通讯地址</w:t>
            </w:r>
          </w:p>
        </w:tc>
        <w:tc>
          <w:tcPr>
            <w:tcW w:w="2036" w:type="dxa"/>
            <w:vAlign w:val="center"/>
          </w:tcPr>
          <w:p>
            <w:pPr>
              <w:rPr>
                <w:rFonts w:ascii="宋体" w:cs="宋体"/>
                <w:color w:val="000000"/>
                <w:sz w:val="24"/>
              </w:rPr>
            </w:pPr>
          </w:p>
        </w:tc>
        <w:tc>
          <w:tcPr>
            <w:tcW w:w="1627" w:type="dxa"/>
            <w:vAlign w:val="center"/>
          </w:tcPr>
          <w:p>
            <w:pPr>
              <w:jc w:val="left"/>
              <w:textAlignment w:val="center"/>
              <w:rPr>
                <w:rFonts w:ascii="宋体" w:cs="宋体"/>
                <w:color w:val="000000"/>
                <w:sz w:val="24"/>
              </w:rPr>
            </w:pPr>
            <w:r>
              <w:rPr>
                <w:rFonts w:hint="eastAsia" w:ascii="宋体" w:hAnsi="宋体" w:cs="宋体"/>
                <w:color w:val="000000"/>
                <w:kern w:val="0"/>
                <w:sz w:val="24"/>
              </w:rPr>
              <w:t>邮政编码</w:t>
            </w:r>
          </w:p>
        </w:tc>
        <w:tc>
          <w:tcPr>
            <w:tcW w:w="3090" w:type="dxa"/>
            <w:gridSpan w:val="3"/>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法人代表</w:t>
            </w:r>
          </w:p>
        </w:tc>
        <w:tc>
          <w:tcPr>
            <w:tcW w:w="2036" w:type="dxa"/>
            <w:vAlign w:val="center"/>
          </w:tcPr>
          <w:p>
            <w:pPr>
              <w:rPr>
                <w:rFonts w:ascii="宋体" w:cs="宋体"/>
                <w:color w:val="000000"/>
                <w:sz w:val="24"/>
              </w:rPr>
            </w:pPr>
          </w:p>
        </w:tc>
        <w:tc>
          <w:tcPr>
            <w:tcW w:w="1627" w:type="dxa"/>
            <w:vAlign w:val="center"/>
          </w:tcPr>
          <w:p>
            <w:pPr>
              <w:jc w:val="left"/>
              <w:textAlignment w:val="center"/>
              <w:rPr>
                <w:rFonts w:ascii="宋体" w:cs="宋体"/>
                <w:color w:val="000000"/>
                <w:sz w:val="24"/>
              </w:rPr>
            </w:pPr>
            <w:r>
              <w:rPr>
                <w:rFonts w:hint="eastAsia" w:ascii="宋体" w:hAnsi="宋体" w:cs="宋体"/>
                <w:color w:val="000000"/>
                <w:kern w:val="0"/>
                <w:sz w:val="24"/>
              </w:rPr>
              <w:t>手机</w:t>
            </w:r>
          </w:p>
        </w:tc>
        <w:tc>
          <w:tcPr>
            <w:tcW w:w="3090" w:type="dxa"/>
            <w:gridSpan w:val="3"/>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办公电话</w:t>
            </w:r>
          </w:p>
        </w:tc>
        <w:tc>
          <w:tcPr>
            <w:tcW w:w="2036" w:type="dxa"/>
            <w:vAlign w:val="center"/>
          </w:tcPr>
          <w:p>
            <w:pPr>
              <w:rPr>
                <w:rFonts w:ascii="宋体" w:cs="宋体"/>
                <w:color w:val="000000"/>
                <w:sz w:val="24"/>
              </w:rPr>
            </w:pPr>
          </w:p>
        </w:tc>
        <w:tc>
          <w:tcPr>
            <w:tcW w:w="1627" w:type="dxa"/>
            <w:vAlign w:val="center"/>
          </w:tcPr>
          <w:p>
            <w:pPr>
              <w:jc w:val="left"/>
              <w:textAlignment w:val="center"/>
              <w:rPr>
                <w:rFonts w:ascii="宋体" w:cs="宋体"/>
                <w:color w:val="000000"/>
                <w:sz w:val="24"/>
              </w:rPr>
            </w:pPr>
            <w:r>
              <w:rPr>
                <w:rFonts w:hint="eastAsia" w:ascii="宋体" w:hAnsi="宋体" w:cs="宋体"/>
                <w:color w:val="000000"/>
                <w:kern w:val="0"/>
                <w:sz w:val="24"/>
              </w:rPr>
              <w:t>传真电话</w:t>
            </w:r>
          </w:p>
        </w:tc>
        <w:tc>
          <w:tcPr>
            <w:tcW w:w="3090" w:type="dxa"/>
            <w:gridSpan w:val="3"/>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9294" w:type="dxa"/>
            <w:gridSpan w:val="6"/>
            <w:vAlign w:val="center"/>
          </w:tcPr>
          <w:p>
            <w:pPr>
              <w:jc w:val="left"/>
              <w:textAlignment w:val="center"/>
              <w:rPr>
                <w:rFonts w:ascii="宋体" w:cs="宋体"/>
                <w:b/>
                <w:color w:val="000000"/>
                <w:sz w:val="24"/>
              </w:rPr>
            </w:pPr>
            <w:r>
              <w:rPr>
                <w:rFonts w:ascii="宋体" w:hAnsi="宋体" w:cs="宋体"/>
                <w:b/>
                <w:color w:val="000000"/>
                <w:kern w:val="0"/>
                <w:sz w:val="24"/>
              </w:rPr>
              <w:t>7.</w:t>
            </w:r>
            <w:r>
              <w:rPr>
                <w:rFonts w:hint="eastAsia" w:ascii="宋体" w:hAnsi="宋体" w:cs="宋体"/>
                <w:b/>
                <w:color w:val="000000"/>
                <w:kern w:val="0"/>
                <w:sz w:val="24"/>
              </w:rPr>
              <w:t>受聘后执业注册情况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7"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医师执业证书编码</w:t>
            </w:r>
          </w:p>
        </w:tc>
        <w:tc>
          <w:tcPr>
            <w:tcW w:w="3663" w:type="dxa"/>
            <w:gridSpan w:val="2"/>
            <w:vAlign w:val="center"/>
          </w:tcPr>
          <w:p>
            <w:pPr>
              <w:rPr>
                <w:rFonts w:ascii="宋体" w:cs="宋体"/>
                <w:color w:val="000000"/>
                <w:sz w:val="24"/>
              </w:rPr>
            </w:pPr>
          </w:p>
        </w:tc>
        <w:tc>
          <w:tcPr>
            <w:tcW w:w="1093" w:type="dxa"/>
            <w:vAlign w:val="center"/>
          </w:tcPr>
          <w:p>
            <w:pPr>
              <w:jc w:val="left"/>
              <w:textAlignment w:val="center"/>
              <w:rPr>
                <w:rFonts w:ascii="宋体" w:cs="宋体"/>
                <w:color w:val="000000"/>
                <w:sz w:val="24"/>
              </w:rPr>
            </w:pPr>
            <w:r>
              <w:rPr>
                <w:rFonts w:hint="eastAsia" w:ascii="宋体" w:hAnsi="宋体" w:cs="宋体"/>
                <w:color w:val="000000"/>
                <w:kern w:val="0"/>
                <w:sz w:val="24"/>
              </w:rPr>
              <w:t>变更或注册时间</w:t>
            </w:r>
          </w:p>
        </w:tc>
        <w:tc>
          <w:tcPr>
            <w:tcW w:w="1997" w:type="dxa"/>
            <w:gridSpan w:val="2"/>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2541" w:type="dxa"/>
            <w:vAlign w:val="center"/>
          </w:tcPr>
          <w:p>
            <w:pPr>
              <w:jc w:val="left"/>
              <w:textAlignment w:val="center"/>
              <w:rPr>
                <w:rFonts w:ascii="宋体" w:cs="宋体"/>
                <w:color w:val="000000"/>
                <w:sz w:val="24"/>
              </w:rPr>
            </w:pPr>
            <w:r>
              <w:rPr>
                <w:rFonts w:hint="eastAsia" w:ascii="宋体" w:hAnsi="宋体" w:cs="宋体"/>
                <w:color w:val="000000"/>
                <w:kern w:val="0"/>
                <w:sz w:val="24"/>
              </w:rPr>
              <w:t>执业地点</w:t>
            </w:r>
          </w:p>
        </w:tc>
        <w:tc>
          <w:tcPr>
            <w:tcW w:w="3663" w:type="dxa"/>
            <w:gridSpan w:val="2"/>
            <w:vAlign w:val="center"/>
          </w:tcPr>
          <w:p>
            <w:pPr>
              <w:rPr>
                <w:rFonts w:ascii="宋体" w:cs="宋体"/>
                <w:color w:val="000000"/>
                <w:sz w:val="24"/>
              </w:rPr>
            </w:pPr>
          </w:p>
        </w:tc>
        <w:tc>
          <w:tcPr>
            <w:tcW w:w="1093" w:type="dxa"/>
            <w:vAlign w:val="center"/>
          </w:tcPr>
          <w:p>
            <w:pPr>
              <w:jc w:val="left"/>
              <w:textAlignment w:val="center"/>
              <w:rPr>
                <w:rFonts w:ascii="宋体" w:cs="宋体"/>
                <w:color w:val="000000"/>
                <w:sz w:val="24"/>
              </w:rPr>
            </w:pPr>
            <w:r>
              <w:rPr>
                <w:rFonts w:hint="eastAsia" w:ascii="宋体" w:hAnsi="宋体" w:cs="宋体"/>
                <w:color w:val="000000"/>
                <w:kern w:val="0"/>
                <w:sz w:val="24"/>
              </w:rPr>
              <w:t>执业范围</w:t>
            </w:r>
          </w:p>
        </w:tc>
        <w:tc>
          <w:tcPr>
            <w:tcW w:w="1997" w:type="dxa"/>
            <w:gridSpan w:val="2"/>
            <w:vAlign w:val="center"/>
          </w:tcPr>
          <w:p>
            <w:pP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7" w:hRule="atLeast"/>
          <w:jc w:val="center"/>
        </w:trPr>
        <w:tc>
          <w:tcPr>
            <w:tcW w:w="2541" w:type="dxa"/>
            <w:vAlign w:val="center"/>
          </w:tcPr>
          <w:p>
            <w:pPr>
              <w:rPr>
                <w:rFonts w:ascii="宋体" w:cs="宋体"/>
                <w:color w:val="000000"/>
                <w:sz w:val="24"/>
              </w:rPr>
            </w:pPr>
          </w:p>
        </w:tc>
        <w:tc>
          <w:tcPr>
            <w:tcW w:w="2036" w:type="dxa"/>
            <w:vAlign w:val="center"/>
          </w:tcPr>
          <w:p>
            <w:pPr>
              <w:rPr>
                <w:rFonts w:ascii="宋体" w:cs="宋体"/>
                <w:color w:val="000000"/>
                <w:sz w:val="24"/>
              </w:rPr>
            </w:pPr>
          </w:p>
        </w:tc>
        <w:tc>
          <w:tcPr>
            <w:tcW w:w="1627" w:type="dxa"/>
            <w:vAlign w:val="center"/>
          </w:tcPr>
          <w:p>
            <w:pPr>
              <w:rPr>
                <w:rFonts w:ascii="宋体" w:cs="宋体"/>
                <w:color w:val="000000"/>
                <w:sz w:val="24"/>
              </w:rPr>
            </w:pPr>
          </w:p>
        </w:tc>
        <w:tc>
          <w:tcPr>
            <w:tcW w:w="1093" w:type="dxa"/>
            <w:vAlign w:val="center"/>
          </w:tcPr>
          <w:p>
            <w:pPr>
              <w:rPr>
                <w:rFonts w:ascii="宋体" w:cs="宋体"/>
                <w:color w:val="000000"/>
                <w:sz w:val="24"/>
              </w:rPr>
            </w:pPr>
          </w:p>
        </w:tc>
        <w:tc>
          <w:tcPr>
            <w:tcW w:w="998" w:type="dxa"/>
            <w:vAlign w:val="center"/>
          </w:tcPr>
          <w:p>
            <w:pPr>
              <w:rPr>
                <w:rFonts w:ascii="宋体" w:cs="宋体"/>
                <w:color w:val="000000"/>
                <w:sz w:val="24"/>
              </w:rPr>
            </w:pPr>
          </w:p>
        </w:tc>
        <w:tc>
          <w:tcPr>
            <w:tcW w:w="999" w:type="dxa"/>
            <w:vAlign w:val="center"/>
          </w:tcPr>
          <w:p>
            <w:pPr>
              <w:rPr>
                <w:rFonts w:ascii="宋体" w:cs="宋体"/>
                <w:color w:val="000000"/>
                <w:sz w:val="24"/>
              </w:rPr>
            </w:pPr>
          </w:p>
        </w:tc>
      </w:tr>
    </w:tbl>
    <w:p>
      <w:pPr>
        <w:pStyle w:val="4"/>
        <w:kinsoku w:val="0"/>
        <w:overflowPunct w:val="0"/>
        <w:spacing w:before="32" w:line="322" w:lineRule="exact"/>
        <w:ind w:left="0"/>
        <w:rPr>
          <w:spacing w:val="-9"/>
          <w:w w:val="95"/>
          <w:sz w:val="24"/>
          <w:szCs w:val="24"/>
        </w:rPr>
      </w:pPr>
      <w:r>
        <w:rPr>
          <w:rFonts w:hint="eastAsia"/>
          <w:spacing w:val="-16"/>
          <w:w w:val="95"/>
          <w:sz w:val="24"/>
          <w:szCs w:val="24"/>
        </w:rPr>
        <w:t>备注：</w:t>
      </w:r>
      <w:r>
        <w:rPr>
          <w:rFonts w:ascii="Times New Roman" w:cs="Times New Roman"/>
          <w:spacing w:val="-16"/>
          <w:w w:val="95"/>
          <w:sz w:val="24"/>
          <w:szCs w:val="24"/>
        </w:rPr>
        <w:t>1.</w:t>
      </w:r>
      <w:r>
        <w:rPr>
          <w:rFonts w:ascii="Times New Roman" w:cs="Times New Roman"/>
          <w:spacing w:val="-38"/>
          <w:w w:val="95"/>
          <w:sz w:val="24"/>
          <w:szCs w:val="24"/>
        </w:rPr>
        <w:t xml:space="preserve"> </w:t>
      </w:r>
      <w:r>
        <w:rPr>
          <w:rFonts w:hint="eastAsia"/>
          <w:w w:val="95"/>
          <w:sz w:val="24"/>
          <w:szCs w:val="24"/>
        </w:rPr>
        <w:t>此表由受聘特岗全科医生填写</w:t>
      </w:r>
      <w:r>
        <w:rPr>
          <w:spacing w:val="-92"/>
          <w:w w:val="95"/>
          <w:sz w:val="24"/>
          <w:szCs w:val="24"/>
        </w:rPr>
        <w:t xml:space="preserve"> </w:t>
      </w:r>
      <w:r>
        <w:rPr>
          <w:rFonts w:hint="eastAsia"/>
          <w:spacing w:val="-16"/>
          <w:w w:val="95"/>
          <w:sz w:val="24"/>
          <w:szCs w:val="24"/>
        </w:rPr>
        <w:t>，一式五份</w:t>
      </w:r>
      <w:r>
        <w:rPr>
          <w:spacing w:val="-105"/>
          <w:w w:val="95"/>
          <w:sz w:val="24"/>
          <w:szCs w:val="24"/>
        </w:rPr>
        <w:t xml:space="preserve"> </w:t>
      </w:r>
      <w:r>
        <w:rPr>
          <w:rFonts w:hint="eastAsia"/>
          <w:spacing w:val="-12"/>
          <w:w w:val="95"/>
          <w:sz w:val="24"/>
          <w:szCs w:val="24"/>
        </w:rPr>
        <w:t>，服务的乡镇卫生院</w:t>
      </w:r>
      <w:r>
        <w:rPr>
          <w:spacing w:val="-96"/>
          <w:w w:val="95"/>
          <w:sz w:val="24"/>
          <w:szCs w:val="24"/>
        </w:rPr>
        <w:t xml:space="preserve"> </w:t>
      </w:r>
      <w:r>
        <w:rPr>
          <w:rFonts w:hint="eastAsia"/>
          <w:spacing w:val="-10"/>
          <w:w w:val="95"/>
          <w:sz w:val="24"/>
          <w:szCs w:val="24"/>
        </w:rPr>
        <w:t>、本人人事档案</w:t>
      </w:r>
      <w:r>
        <w:rPr>
          <w:rFonts w:hint="eastAsia"/>
          <w:spacing w:val="-9"/>
          <w:w w:val="95"/>
          <w:sz w:val="24"/>
          <w:szCs w:val="24"/>
        </w:rPr>
        <w:t>各存一份，逐级上报县</w:t>
      </w:r>
      <w:r>
        <w:rPr>
          <w:rFonts w:hint="eastAsia"/>
          <w:spacing w:val="-3"/>
          <w:w w:val="95"/>
          <w:sz w:val="24"/>
          <w:szCs w:val="24"/>
        </w:rPr>
        <w:t>、市卫生健康委和省卫生健康委</w:t>
      </w:r>
      <w:r>
        <w:rPr>
          <w:rFonts w:hint="eastAsia"/>
          <w:spacing w:val="-9"/>
          <w:w w:val="95"/>
          <w:sz w:val="24"/>
          <w:szCs w:val="24"/>
        </w:rPr>
        <w:t>，各存一份．</w:t>
      </w:r>
    </w:p>
    <w:p>
      <w:pPr>
        <w:pStyle w:val="4"/>
        <w:kinsoku w:val="0"/>
        <w:overflowPunct w:val="0"/>
        <w:spacing w:before="32" w:line="322" w:lineRule="exact"/>
        <w:ind w:left="0" w:firstLine="529" w:firstLineChars="245"/>
        <w:rPr>
          <w:spacing w:val="-3"/>
          <w:w w:val="95"/>
          <w:sz w:val="24"/>
          <w:szCs w:val="24"/>
        </w:rPr>
      </w:pPr>
      <w:r>
        <w:rPr>
          <w:rFonts w:ascii="Times New Roman" w:cs="Times New Roman"/>
          <w:w w:val="90"/>
          <w:sz w:val="24"/>
          <w:szCs w:val="24"/>
        </w:rPr>
        <w:t>2.</w:t>
      </w:r>
      <w:r>
        <w:rPr>
          <w:rFonts w:ascii="Times New Roman" w:cs="Times New Roman"/>
          <w:spacing w:val="14"/>
          <w:w w:val="90"/>
          <w:sz w:val="24"/>
          <w:szCs w:val="24"/>
        </w:rPr>
        <w:t xml:space="preserve"> </w:t>
      </w:r>
      <w:r>
        <w:rPr>
          <w:rFonts w:hint="eastAsia"/>
          <w:w w:val="90"/>
          <w:sz w:val="24"/>
          <w:szCs w:val="24"/>
        </w:rPr>
        <w:t>此表（</w:t>
      </w:r>
      <w:r>
        <w:rPr>
          <w:spacing w:val="-81"/>
          <w:w w:val="90"/>
          <w:sz w:val="24"/>
          <w:szCs w:val="24"/>
        </w:rPr>
        <w:t xml:space="preserve"> </w:t>
      </w:r>
      <w:r>
        <w:rPr>
          <w:rFonts w:hint="eastAsia"/>
          <w:w w:val="90"/>
          <w:sz w:val="24"/>
          <w:szCs w:val="24"/>
        </w:rPr>
        <w:t>含</w:t>
      </w:r>
      <w:r>
        <w:rPr>
          <w:spacing w:val="-77"/>
          <w:w w:val="90"/>
          <w:sz w:val="24"/>
          <w:szCs w:val="24"/>
        </w:rPr>
        <w:t xml:space="preserve"> </w:t>
      </w:r>
      <w:r>
        <w:rPr>
          <w:rFonts w:ascii="Times New Roman" w:cs="Times New Roman"/>
          <w:w w:val="90"/>
          <w:sz w:val="24"/>
          <w:szCs w:val="24"/>
        </w:rPr>
        <w:t>word</w:t>
      </w:r>
      <w:r>
        <w:rPr>
          <w:rFonts w:ascii="Times New Roman" w:cs="Times New Roman"/>
          <w:spacing w:val="39"/>
          <w:w w:val="90"/>
          <w:sz w:val="24"/>
          <w:szCs w:val="24"/>
        </w:rPr>
        <w:t xml:space="preserve"> </w:t>
      </w:r>
      <w:r>
        <w:rPr>
          <w:rFonts w:hint="eastAsia"/>
          <w:w w:val="90"/>
          <w:sz w:val="24"/>
          <w:szCs w:val="24"/>
        </w:rPr>
        <w:t>文档</w:t>
      </w:r>
      <w:r>
        <w:rPr>
          <w:spacing w:val="-68"/>
          <w:w w:val="90"/>
          <w:sz w:val="24"/>
          <w:szCs w:val="24"/>
        </w:rPr>
        <w:t xml:space="preserve"> </w:t>
      </w:r>
      <w:r>
        <w:rPr>
          <w:rFonts w:hint="eastAsia"/>
          <w:w w:val="75"/>
          <w:sz w:val="24"/>
          <w:szCs w:val="24"/>
        </w:rPr>
        <w:t>）</w:t>
      </w:r>
      <w:r>
        <w:rPr>
          <w:spacing w:val="-25"/>
          <w:w w:val="75"/>
          <w:sz w:val="24"/>
          <w:szCs w:val="24"/>
        </w:rPr>
        <w:t xml:space="preserve"> </w:t>
      </w:r>
      <w:r>
        <w:rPr>
          <w:rFonts w:hint="eastAsia"/>
          <w:w w:val="90"/>
          <w:sz w:val="24"/>
          <w:szCs w:val="24"/>
        </w:rPr>
        <w:t>市卫生健康委收集后</w:t>
      </w:r>
      <w:r>
        <w:rPr>
          <w:spacing w:val="-45"/>
          <w:w w:val="90"/>
          <w:sz w:val="24"/>
          <w:szCs w:val="24"/>
        </w:rPr>
        <w:t xml:space="preserve"> </w:t>
      </w:r>
      <w:r>
        <w:rPr>
          <w:rFonts w:hint="eastAsia"/>
          <w:spacing w:val="-9"/>
          <w:w w:val="90"/>
          <w:sz w:val="24"/>
          <w:szCs w:val="24"/>
        </w:rPr>
        <w:t>，办理聘用手续后</w:t>
      </w:r>
      <w:r>
        <w:rPr>
          <w:spacing w:val="-10"/>
          <w:w w:val="90"/>
          <w:sz w:val="24"/>
          <w:szCs w:val="24"/>
        </w:rPr>
        <w:t xml:space="preserve"> </w:t>
      </w:r>
      <w:r>
        <w:rPr>
          <w:rFonts w:ascii="Times New Roman" w:cs="Times New Roman"/>
          <w:w w:val="90"/>
          <w:sz w:val="24"/>
          <w:szCs w:val="24"/>
        </w:rPr>
        <w:t>15</w:t>
      </w:r>
      <w:r>
        <w:rPr>
          <w:rFonts w:ascii="Times New Roman" w:cs="Times New Roman"/>
          <w:spacing w:val="-11"/>
          <w:w w:val="90"/>
          <w:sz w:val="24"/>
          <w:szCs w:val="24"/>
        </w:rPr>
        <w:t xml:space="preserve"> </w:t>
      </w:r>
      <w:r>
        <w:rPr>
          <w:rFonts w:hint="eastAsia"/>
          <w:w w:val="90"/>
          <w:sz w:val="24"/>
          <w:szCs w:val="24"/>
        </w:rPr>
        <w:t>工作日内报送省卫生健康委人事处。</w:t>
      </w:r>
    </w:p>
    <w:p>
      <w:pPr>
        <w:widowControl/>
        <w:spacing w:line="480" w:lineRule="auto"/>
        <w:ind w:firstLine="640" w:firstLineChars="200"/>
        <w:rPr>
          <w:rFonts w:ascii="仿宋_GB2312" w:hAnsi="微软雅黑" w:eastAsia="仿宋_GB2312" w:cs="宋体"/>
          <w:color w:val="444444"/>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5F41"/>
    <w:rsid w:val="00053046"/>
    <w:rsid w:val="000B4EC8"/>
    <w:rsid w:val="001028A8"/>
    <w:rsid w:val="00181EF3"/>
    <w:rsid w:val="001B35E7"/>
    <w:rsid w:val="001E1A1A"/>
    <w:rsid w:val="00262422"/>
    <w:rsid w:val="00263D4E"/>
    <w:rsid w:val="002D1736"/>
    <w:rsid w:val="004407EA"/>
    <w:rsid w:val="00477283"/>
    <w:rsid w:val="004F3440"/>
    <w:rsid w:val="004F7193"/>
    <w:rsid w:val="00521B31"/>
    <w:rsid w:val="005467F5"/>
    <w:rsid w:val="0055323E"/>
    <w:rsid w:val="0059025E"/>
    <w:rsid w:val="005E4A07"/>
    <w:rsid w:val="00605004"/>
    <w:rsid w:val="00611AA4"/>
    <w:rsid w:val="00633D37"/>
    <w:rsid w:val="00646CC1"/>
    <w:rsid w:val="006615D0"/>
    <w:rsid w:val="00675F41"/>
    <w:rsid w:val="007776AE"/>
    <w:rsid w:val="008155F7"/>
    <w:rsid w:val="008A2C18"/>
    <w:rsid w:val="008B62DF"/>
    <w:rsid w:val="00947C0B"/>
    <w:rsid w:val="009B7A51"/>
    <w:rsid w:val="00A277CC"/>
    <w:rsid w:val="00A364EB"/>
    <w:rsid w:val="00A86A8D"/>
    <w:rsid w:val="00B00AE6"/>
    <w:rsid w:val="00B430C7"/>
    <w:rsid w:val="00B63490"/>
    <w:rsid w:val="00C92761"/>
    <w:rsid w:val="00D06FCE"/>
    <w:rsid w:val="00E74C5A"/>
    <w:rsid w:val="00EF2F0B"/>
    <w:rsid w:val="00F03500"/>
    <w:rsid w:val="00F12A77"/>
    <w:rsid w:val="00F308C4"/>
    <w:rsid w:val="00FC1499"/>
    <w:rsid w:val="09CC2D07"/>
    <w:rsid w:val="1F0D416B"/>
    <w:rsid w:val="25CB63AF"/>
    <w:rsid w:val="2D2914AF"/>
    <w:rsid w:val="37BC4331"/>
    <w:rsid w:val="41F84C36"/>
    <w:rsid w:val="675C3025"/>
    <w:rsid w:val="68E42606"/>
    <w:rsid w:val="72EF3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4"/>
    <w:uiPriority w:val="99"/>
    <w:pPr>
      <w:autoSpaceDE w:val="0"/>
      <w:autoSpaceDN w:val="0"/>
      <w:adjustRightInd w:val="0"/>
      <w:spacing w:before="4"/>
      <w:ind w:left="114"/>
      <w:jc w:val="left"/>
    </w:pPr>
    <w:rPr>
      <w:rFonts w:ascii="宋体" w:hAnsi="Times New Roman" w:eastAsia="宋体" w:cs="宋体"/>
      <w:kern w:val="0"/>
      <w:sz w:val="31"/>
      <w:szCs w:val="31"/>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1 Char"/>
    <w:basedOn w:val="9"/>
    <w:link w:val="2"/>
    <w:qFormat/>
    <w:uiPriority w:val="9"/>
    <w:rPr>
      <w:rFonts w:ascii="宋体" w:hAnsi="宋体" w:eastAsia="宋体" w:cs="宋体"/>
      <w:b/>
      <w:bCs/>
      <w:kern w:val="36"/>
      <w:sz w:val="48"/>
      <w:szCs w:val="48"/>
    </w:rPr>
  </w:style>
  <w:style w:type="character" w:customStyle="1" w:styleId="11">
    <w:name w:val="标题 3 Char"/>
    <w:basedOn w:val="9"/>
    <w:link w:val="3"/>
    <w:qFormat/>
    <w:uiPriority w:val="9"/>
    <w:rPr>
      <w:rFonts w:ascii="宋体" w:hAnsi="宋体" w:eastAsia="宋体" w:cs="宋体"/>
      <w:b/>
      <w:bCs/>
      <w:kern w:val="0"/>
      <w:sz w:val="27"/>
      <w:szCs w:val="27"/>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正文文本 Char"/>
    <w:basedOn w:val="9"/>
    <w:link w:val="4"/>
    <w:qFormat/>
    <w:uiPriority w:val="99"/>
    <w:rPr>
      <w:rFonts w:ascii="宋体" w:hAnsi="Times New Roman" w:eastAsia="宋体" w:cs="宋体"/>
      <w:kern w:val="0"/>
      <w:sz w:val="31"/>
      <w:szCs w:val="3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679</Words>
  <Characters>3873</Characters>
  <Lines>32</Lines>
  <Paragraphs>9</Paragraphs>
  <TotalTime>1349</TotalTime>
  <ScaleCrop>false</ScaleCrop>
  <LinksUpToDate>false</LinksUpToDate>
  <CharactersWithSpaces>4543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2019-09-06T07:20:00Z</dcterms:created>
  <dc:creator>Administrator</dc:creator>
  <cp:lastModifiedBy>G</cp:lastModifiedBy>
  <cp:lastPrinted>2019-09-27T06:23:00Z</cp:lastPrinted>
  <dcterms:modified xsi:type="dcterms:W3CDTF">2019-10-10T08:11:27Z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