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96" w:lineRule="atLeast"/>
        <w:ind w:left="0" w:right="0" w:firstLine="0"/>
        <w:rPr>
          <w:rFonts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default" w:ascii="Tahoma" w:hAnsi="Tahoma" w:eastAsia="Tahoma" w:cs="Tahoma"/>
          <w:b/>
          <w:i w:val="0"/>
          <w:caps w:val="0"/>
          <w:color w:val="000000"/>
          <w:spacing w:val="0"/>
          <w:sz w:val="15"/>
          <w:szCs w:val="15"/>
          <w:shd w:val="clear" w:fill="FFFFFF"/>
        </w:rPr>
        <w:t>广西2020年定向选调生招录急需紧缺专业目录</w:t>
      </w:r>
    </w:p>
    <w:tbl>
      <w:tblPr>
        <w:tblW w:w="7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学科类别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12"/>
                <w:sz w:val="24"/>
                <w:szCs w:val="24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（一）经济学、管理学、社会学与法学类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社会保障，法学（法律）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（三）海洋科学及工程类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（四）环境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科学类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（五）交通运输类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（六）机械工程与材料科学类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机械制造及其自动化，机械电子工程，车辆工程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机械设计及理论，材料科学与工程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新材料科学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（七）电气信息工程及电子信息科技类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数据科学与大数据技术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（八）轻工食品类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（九）农林水类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果树学，蔬菜学，茶学，林学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农产品安全，农药学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畜牧学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生态水力学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（十）医学、康养类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中药学，中药资源与开发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壮医学，预防医学，中医养生康养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15"/>
                <w:szCs w:val="15"/>
              </w:rPr>
              <w:t>学科类别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12"/>
                <w:sz w:val="24"/>
                <w:szCs w:val="24"/>
              </w:rPr>
              <w:t>以下专业招录全日制博士毕业生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（一）经济学、管理学与法学类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  <w:t>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法学（法律）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444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default" w:ascii="Tahoma" w:hAnsi="Tahoma" w:eastAsia="Tahoma" w:cs="Tahoma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注：志愿到县乡机关工作的本科生、硕士研究生不限专业报考。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873F4"/>
    <w:rsid w:val="1BA8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2019-10-12T13:51:00Z</dcterms:created>
  <dc:creator>石果</dc:creator>
  <cp:lastModifiedBy>石果</cp:lastModifiedBy>
  <dcterms:modified xsi:type="dcterms:W3CDTF">2019-10-12T13:52:00Z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