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秭归县国有企业招聘工作人员报名表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/>
          <w:bCs/>
          <w:sz w:val="30"/>
          <w:szCs w:val="32"/>
        </w:rPr>
        <w:t xml:space="preserve">                           </w:t>
      </w:r>
      <w:r>
        <w:rPr>
          <w:rFonts w:hint="eastAsia" w:ascii="Times New Roman" w:hAnsi="Times New Roman"/>
          <w:bCs/>
          <w:sz w:val="28"/>
          <w:szCs w:val="28"/>
        </w:rPr>
        <w:t>报考职位：</w:t>
      </w:r>
    </w:p>
    <w:tbl>
      <w:tblPr>
        <w:tblStyle w:val="3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637"/>
        <w:gridCol w:w="539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259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9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057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1312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ind w:left="-279" w:leftChars="-133" w:firstLine="98" w:firstLineChars="47"/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5CAF"/>
    <w:rsid w:val="71A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2019-10-15T02:46:00Z</dcterms:created>
  <dc:creator>天天洗澡的鱼</dc:creator>
  <cp:lastModifiedBy>天天洗澡的鱼</cp:lastModifiedBy>
  <dcterms:modified xsi:type="dcterms:W3CDTF">2019-10-15T02:46:31Z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