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both"/>
        <w:rPr>
          <w:rFonts w:ascii="微软雅黑" w:hAnsi="微软雅黑" w:eastAsia="微软雅黑" w:cs="微软雅黑"/>
          <w:color w:val="666666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招聘单位、岗位、人数、专业、学历和范围及资格条件</w:t>
      </w:r>
    </w:p>
    <w:bookmarkEnd w:id="0"/>
    <w:tbl>
      <w:tblPr>
        <w:tblW w:w="8024" w:type="dxa"/>
        <w:jc w:val="center"/>
        <w:tblCellSpacing w:w="0" w:type="dxa"/>
        <w:tblInd w:w="16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511"/>
        <w:gridCol w:w="341"/>
        <w:gridCol w:w="1045"/>
        <w:gridCol w:w="2833"/>
        <w:gridCol w:w="613"/>
        <w:gridCol w:w="21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职责</w:t>
            </w:r>
          </w:p>
        </w:tc>
        <w:tc>
          <w:tcPr>
            <w:tcW w:w="2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学历（学位）要求</w:t>
            </w:r>
          </w:p>
        </w:tc>
        <w:tc>
          <w:tcPr>
            <w:tcW w:w="6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2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闸门运行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闸门、电气运行及维护管理等，长期户外作业，适合男性。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机械设计制造及其自动化、电气工程及其自动化、机电设备运行与维护、机电一体化技术二级学科专业；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本科及以上学历、学士及以上学位。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宁波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已取得学历（学位）历届生，年龄35周岁以下。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水利工程管理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工程管理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水利水电工程二级学科专业；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本科及以上学历、学士及以上学位。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宁波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0"/>
                <w:szCs w:val="20"/>
                <w:bdr w:val="none" w:color="auto" w:sz="0" w:space="0"/>
              </w:rPr>
              <w:t>已取得学历（学位）历届生，年龄35周岁以下。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666666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备注：学历学位、从业资格证书、职称取得时间和年龄的计算截止时间均为公告发布之日。属于国境外留学回国境人员的，报考时须已取得国家教育部认定的学历（学位）证书，专业相近的以所学课程名称为准。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83C9D"/>
    <w:rsid w:val="06E83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2019-10-15T01:44:00Z</dcterms:created>
  <dc:creator>ASUS</dc:creator>
  <cp:lastModifiedBy>ASUS</cp:lastModifiedBy>
  <dcterms:modified xsi:type="dcterms:W3CDTF">2019-10-15T01:45:04Z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