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FB" w:rsidRPr="00EF7DFB" w:rsidRDefault="00EF7DFB" w:rsidP="00EF7DFB">
      <w:pPr>
        <w:pStyle w:val="2"/>
      </w:pPr>
      <w:bookmarkStart w:id="0" w:name="_GoBack"/>
      <w:r w:rsidRPr="00EF7DFB">
        <w:rPr>
          <w:rFonts w:hint="eastAsia"/>
        </w:rPr>
        <w:t>201</w:t>
      </w:r>
      <w:r w:rsidRPr="00EF7DFB">
        <w:t>7</w:t>
      </w:r>
      <w:r w:rsidRPr="00EF7DFB">
        <w:rPr>
          <w:rFonts w:hint="eastAsia"/>
        </w:rPr>
        <w:t>年</w:t>
      </w:r>
      <w:r w:rsidRPr="00EF7DFB">
        <w:t>1126</w:t>
      </w:r>
      <w:r w:rsidRPr="00EF7DFB">
        <w:rPr>
          <w:rFonts w:hint="eastAsia"/>
        </w:rPr>
        <w:t>中国人民银行真题-经济金融</w:t>
      </w:r>
    </w:p>
    <w:bookmarkEnd w:id="0"/>
    <w:p w:rsidR="00EF7DFB" w:rsidRPr="00EF7DFB" w:rsidRDefault="00EF7DFB" w:rsidP="00EF7DFB">
      <w:pPr>
        <w:pStyle w:val="5"/>
      </w:pPr>
      <w:r w:rsidRPr="00EF7DFB">
        <w:rPr>
          <w:rFonts w:hint="eastAsia"/>
        </w:rPr>
        <w:t>判断题（共20个小题）</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用先进的机器替代工人的劳动，会使劳动的需求曲线向右移动。（</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当一种商品的价格下降时，收入效应会导致这种商品被更多的消费。（</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汽车属于耐用消费品，其短期需求弹性小于长期需求弹性。（</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在无差异曲线与消费</w:t>
      </w:r>
      <w:proofErr w:type="gramStart"/>
      <w:r w:rsidRPr="00EF7DFB">
        <w:rPr>
          <w:rFonts w:ascii="Times New Roman" w:eastAsia="宋体" w:hAnsi="Times New Roman" w:cs="Times New Roman" w:hint="eastAsia"/>
          <w:color w:val="000000"/>
          <w:kern w:val="0"/>
        </w:rPr>
        <w:t>可能线</w:t>
      </w:r>
      <w:proofErr w:type="gramEnd"/>
      <w:r w:rsidRPr="00EF7DFB">
        <w:rPr>
          <w:rFonts w:ascii="Times New Roman" w:eastAsia="宋体" w:hAnsi="Times New Roman" w:cs="Times New Roman" w:hint="eastAsia"/>
          <w:color w:val="000000"/>
          <w:kern w:val="0"/>
        </w:rPr>
        <w:t>的交点上，消费者所得到的效用达到最大。（</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如果政府支出和税收同时增加</w:t>
      </w:r>
      <w:r w:rsidRPr="00EF7DFB">
        <w:rPr>
          <w:rFonts w:ascii="Times New Roman" w:eastAsia="宋体" w:hAnsi="Times New Roman" w:cs="Times New Roman" w:hint="eastAsia"/>
          <w:color w:val="000000"/>
          <w:kern w:val="0"/>
        </w:rPr>
        <w:t>100</w:t>
      </w:r>
      <w:r w:rsidRPr="00EF7DFB">
        <w:rPr>
          <w:rFonts w:ascii="Times New Roman" w:eastAsia="宋体" w:hAnsi="Times New Roman" w:cs="Times New Roman" w:hint="eastAsia"/>
          <w:color w:val="000000"/>
          <w:kern w:val="0"/>
        </w:rPr>
        <w:t>个单位，那么国民储蓄会保持不变。（</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在垄断市场中，不存在价格和产量的一一对应关系。（</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经济租金只有在要素供给曲线缺乏弹性的情况下才存在。（</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如果一国的劳动力数量因致命性疾病突然下降，这会导致该国人均资本存量升高，直到达到均衡状态。（</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在跨</w:t>
      </w:r>
      <w:proofErr w:type="gramStart"/>
      <w:r w:rsidRPr="00EF7DFB">
        <w:rPr>
          <w:rFonts w:ascii="Times New Roman" w:eastAsia="宋体" w:hAnsi="Times New Roman" w:cs="Times New Roman" w:hint="eastAsia"/>
          <w:color w:val="000000"/>
          <w:kern w:val="0"/>
        </w:rPr>
        <w:t>期消费</w:t>
      </w:r>
      <w:proofErr w:type="gramEnd"/>
      <w:r w:rsidRPr="00EF7DFB">
        <w:rPr>
          <w:rFonts w:ascii="Times New Roman" w:eastAsia="宋体" w:hAnsi="Times New Roman" w:cs="Times New Roman" w:hint="eastAsia"/>
          <w:color w:val="000000"/>
          <w:kern w:val="0"/>
        </w:rPr>
        <w:t>选择模型中，利率升高会使得本期消费下降，下期消费升高。（</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hint="eastAsia"/>
          <w:color w:val="000000"/>
          <w:kern w:val="0"/>
        </w:rPr>
        <w:t>在索洛增长模型中，储蓄率升高是均衡经济增长率升高的主要原因。（</w:t>
      </w:r>
      <w:r w:rsidRPr="00EF7DFB">
        <w:rPr>
          <w:rFonts w:ascii="Times New Roman" w:eastAsia="宋体" w:hAnsi="Times New Roman" w:cs="Times New Roman" w:hint="eastAsia"/>
          <w:color w:val="000000"/>
          <w:kern w:val="0"/>
        </w:rPr>
        <w:t xml:space="preserve">    </w:t>
      </w:r>
      <w:r w:rsidRPr="00EF7DFB">
        <w:rPr>
          <w:rFonts w:ascii="Times New Roman" w:eastAsia="宋体" w:hAnsi="Times New Roman" w:cs="Times New Roman" w:hint="eastAsia"/>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color w:val="000000"/>
          <w:kern w:val="0"/>
        </w:rPr>
      </w:pPr>
      <w:r w:rsidRPr="00EF7DFB">
        <w:rPr>
          <w:rFonts w:ascii="Times New Roman" w:eastAsia="宋体" w:hAnsi="Times New Roman" w:cs="Times New Roman"/>
          <w:color w:val="000000"/>
          <w:kern w:val="0"/>
        </w:rPr>
        <w:t>商家有权拒绝接受微信、支付宝等支付方式，因为只有现金是无限法偿。（</w:t>
      </w:r>
      <w:r w:rsidRPr="00EF7DFB">
        <w:rPr>
          <w:rFonts w:ascii="Times New Roman" w:eastAsia="宋体" w:hAnsi="Times New Roman" w:cs="Times New Roman"/>
          <w:color w:val="000000"/>
          <w:kern w:val="0"/>
        </w:rPr>
        <w:t xml:space="preserve">    </w:t>
      </w:r>
      <w:r w:rsidRPr="00EF7DFB">
        <w:rPr>
          <w:rFonts w:ascii="Times New Roman" w:eastAsia="宋体" w:hAnsi="Times New Roman" w:cs="Times New Roman"/>
          <w:color w:val="000000"/>
          <w:kern w:val="0"/>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有中介参与的融资为间接融资。（</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在回购交易中，资金融入方称为逆回购方，而资金融出方称为正回购方。（</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货币供给量可以影响金融体系的资金总量，因此货币不是中性的。（</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中央银行有限的政策工具组合可以实现多重政策目标。（</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货币政策和财政政策应该相互协调</w:t>
      </w:r>
      <w:r w:rsidRPr="00EF7DFB">
        <w:rPr>
          <w:rFonts w:ascii="Times New Roman" w:eastAsia="宋体" w:hAnsi="Times New Roman" w:cs="Times New Roman" w:hint="eastAsia"/>
          <w:kern w:val="0"/>
          <w:szCs w:val="21"/>
        </w:rPr>
        <w:t>，</w:t>
      </w:r>
      <w:r w:rsidRPr="00EF7DFB">
        <w:rPr>
          <w:rFonts w:ascii="Times New Roman" w:eastAsia="宋体" w:hAnsi="Times New Roman" w:cs="Times New Roman"/>
          <w:kern w:val="0"/>
          <w:szCs w:val="21"/>
        </w:rPr>
        <w:t>避免各自独立的决策产生冲突。（</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国际收支调节弹性分析法着重考</w:t>
      </w:r>
      <w:r w:rsidRPr="00EF7DFB">
        <w:rPr>
          <w:rFonts w:ascii="Times New Roman" w:eastAsia="宋体" w:hAnsi="Times New Roman" w:cs="Times New Roman" w:hint="eastAsia"/>
          <w:kern w:val="0"/>
          <w:szCs w:val="21"/>
        </w:rPr>
        <w:t>查</w:t>
      </w:r>
      <w:r w:rsidRPr="00EF7DFB">
        <w:rPr>
          <w:rFonts w:ascii="Times New Roman" w:eastAsia="宋体" w:hAnsi="Times New Roman" w:cs="Times New Roman"/>
          <w:kern w:val="0"/>
          <w:szCs w:val="21"/>
        </w:rPr>
        <w:t>总收入与总支出对国际收支的影响。（</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2016</w:t>
      </w:r>
      <w:r w:rsidRPr="00EF7DFB">
        <w:rPr>
          <w:rFonts w:ascii="Times New Roman" w:eastAsia="宋体" w:hAnsi="Times New Roman" w:cs="Times New Roman"/>
          <w:kern w:val="0"/>
          <w:szCs w:val="21"/>
        </w:rPr>
        <w:t>年</w:t>
      </w:r>
      <w:r w:rsidRPr="00EF7DFB">
        <w:rPr>
          <w:rFonts w:ascii="Times New Roman" w:eastAsia="宋体" w:hAnsi="Times New Roman" w:cs="Times New Roman"/>
          <w:kern w:val="0"/>
          <w:szCs w:val="21"/>
        </w:rPr>
        <w:t>4</w:t>
      </w:r>
      <w:r w:rsidRPr="00EF7DFB">
        <w:rPr>
          <w:rFonts w:ascii="Times New Roman" w:eastAsia="宋体" w:hAnsi="Times New Roman" w:cs="Times New Roman"/>
          <w:kern w:val="0"/>
          <w:szCs w:val="21"/>
        </w:rPr>
        <w:t>月，上海黄金市场开始采取人民币定价，所以国内黄金价格不再受汇率影响。（</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一般情况下，在证券主板市场上某只股票的市盈率越低，表明其投资的价值就越低；反之，则结论相反。（</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numPr>
          <w:ilvl w:val="0"/>
          <w:numId w:val="4"/>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kern w:val="0"/>
          <w:szCs w:val="21"/>
        </w:rPr>
        <w:t>只有资产组合中的证券相关系数大于</w:t>
      </w:r>
      <w:r w:rsidRPr="00EF7DFB">
        <w:rPr>
          <w:rFonts w:ascii="Times New Roman" w:eastAsia="宋体" w:hAnsi="Times New Roman" w:cs="Times New Roman"/>
          <w:kern w:val="0"/>
          <w:szCs w:val="21"/>
        </w:rPr>
        <w:t>1</w:t>
      </w:r>
      <w:r w:rsidRPr="00EF7DFB">
        <w:rPr>
          <w:rFonts w:ascii="Times New Roman" w:eastAsia="宋体" w:hAnsi="Times New Roman" w:cs="Times New Roman"/>
          <w:kern w:val="0"/>
          <w:szCs w:val="21"/>
        </w:rPr>
        <w:t>时，投资组合多元化效应才存在。（</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kern w:val="0"/>
          <w:szCs w:val="21"/>
        </w:rPr>
        <w:t>）</w:t>
      </w:r>
    </w:p>
    <w:p w:rsidR="00EF7DFB" w:rsidRPr="00EF7DFB" w:rsidRDefault="00EF7DFB" w:rsidP="00EF7DFB">
      <w:pPr>
        <w:pStyle w:val="5"/>
      </w:pPr>
      <w:r w:rsidRPr="00EF7DFB">
        <w:rPr>
          <w:rFonts w:hint="eastAsia"/>
        </w:rPr>
        <w:t>单项选择题（共30个小题）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w:t>
      </w:r>
      <w:r w:rsidRPr="00EF7DFB">
        <w:rPr>
          <w:rFonts w:ascii="Times New Roman" w:eastAsia="宋体" w:hAnsi="Times New Roman" w:cs="Times New Roman"/>
        </w:rPr>
        <w:t>总供给曲线向上倾斜的原因不包括（</w:t>
      </w:r>
      <w:r w:rsidRPr="00EF7DFB">
        <w:rPr>
          <w:rFonts w:ascii="Times New Roman" w:eastAsia="宋体" w:hAnsi="Times New Roman" w:cs="Times New Roman"/>
        </w:rPr>
        <w:t xml:space="preserve">    </w:t>
      </w:r>
      <w:r w:rsidRPr="00EF7DFB">
        <w:rPr>
          <w:rFonts w:ascii="Times New Roman" w:eastAsia="宋体" w:hAnsi="Times New Roman" w:cs="Times New Roman"/>
        </w:rPr>
        <w:t>）</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信息不完全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价格</w:t>
      </w:r>
      <w:r w:rsidRPr="00EF7DFB">
        <w:rPr>
          <w:rFonts w:ascii="Times New Roman" w:eastAsia="宋体" w:hAnsi="Times New Roman" w:cs="Times New Roman" w:hint="eastAsia"/>
        </w:rPr>
        <w:t>黏</w:t>
      </w:r>
      <w:r w:rsidRPr="00EF7DFB">
        <w:rPr>
          <w:rFonts w:ascii="Times New Roman" w:eastAsia="宋体" w:hAnsi="Times New Roman" w:cs="Times New Roman"/>
        </w:rPr>
        <w:t>性</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lastRenderedPageBreak/>
        <w:t>C.</w:t>
      </w:r>
      <w:r w:rsidRPr="00EF7DFB">
        <w:rPr>
          <w:rFonts w:ascii="Times New Roman" w:eastAsia="宋体" w:hAnsi="Times New Roman" w:cs="Times New Roman"/>
        </w:rPr>
        <w:t>实际货币余额效应</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工资刚性</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2.</w:t>
      </w:r>
      <w:r w:rsidRPr="00EF7DFB">
        <w:rPr>
          <w:rFonts w:ascii="Times New Roman" w:eastAsia="宋体" w:hAnsi="Times New Roman" w:cs="Times New Roman"/>
        </w:rPr>
        <w:t>完全互补品的无差异曲线形状是</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无差异曲线为斜率固定的直线</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无差异曲线为直角形</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无差异曲线是从左下方向右上方倾斜的一条直线</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无差异曲线是从左上方向右下方倾斜的一条直线</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3.</w:t>
      </w:r>
      <w:r w:rsidRPr="00EF7DFB">
        <w:rPr>
          <w:rFonts w:ascii="Times New Roman" w:eastAsia="宋体" w:hAnsi="Times New Roman" w:cs="Times New Roman"/>
        </w:rPr>
        <w:t>在任何市场中，厂商的平均收益曲线可以由（</w:t>
      </w:r>
      <w:r w:rsidRPr="00EF7DFB">
        <w:rPr>
          <w:rFonts w:ascii="Times New Roman" w:eastAsia="宋体" w:hAnsi="Times New Roman" w:cs="Times New Roman"/>
        </w:rPr>
        <w:t xml:space="preserve">    </w:t>
      </w:r>
      <w:r w:rsidRPr="00EF7DFB">
        <w:rPr>
          <w:rFonts w:ascii="Times New Roman" w:eastAsia="宋体" w:hAnsi="Times New Roman" w:cs="Times New Roman"/>
        </w:rPr>
        <w:t>）</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它的产品供给曲线表示</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行业的产品需求曲线表示</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行业的产品供给曲线表示</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它的产品需求曲线表示</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4.</w:t>
      </w:r>
      <w:r w:rsidRPr="00EF7DFB">
        <w:rPr>
          <w:rFonts w:ascii="Times New Roman" w:eastAsia="宋体" w:hAnsi="Times New Roman" w:cs="Times New Roman"/>
        </w:rPr>
        <w:t>下列行为中，属于价格歧视的是</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超市每天下午固定时间对蔬菜提供临时促销价</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坚持提供产品上门安装服务，并根据购买者居住的远近收取不同的安装费用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向周末出行的旅客收取无折扣票价，向工作日出行的旅客出售折扣票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上述所有</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5.</w:t>
      </w:r>
      <w:r w:rsidRPr="00EF7DFB">
        <w:rPr>
          <w:rFonts w:ascii="Times New Roman" w:eastAsia="宋体" w:hAnsi="Times New Roman" w:cs="Times New Roman"/>
        </w:rPr>
        <w:t>在</w:t>
      </w:r>
      <w:r w:rsidRPr="00EF7DFB">
        <w:rPr>
          <w:rFonts w:ascii="Times New Roman" w:eastAsia="宋体" w:hAnsi="Times New Roman" w:cs="Times New Roman" w:hint="eastAsia"/>
        </w:rPr>
        <w:t>黏</w:t>
      </w:r>
      <w:r w:rsidRPr="00EF7DFB">
        <w:rPr>
          <w:rFonts w:ascii="Times New Roman" w:eastAsia="宋体" w:hAnsi="Times New Roman" w:cs="Times New Roman"/>
        </w:rPr>
        <w:t>性价格模型中，</w:t>
      </w:r>
      <w:r w:rsidRPr="00EF7DFB">
        <w:rPr>
          <w:rFonts w:ascii="Times New Roman" w:eastAsia="宋体" w:hAnsi="Times New Roman" w:cs="Times New Roman" w:hint="eastAsia"/>
        </w:rPr>
        <w:t>如果黏性价格的企业比例提高，这样会导致总供给曲线（</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A.</w:t>
      </w:r>
      <w:r w:rsidRPr="00EF7DFB">
        <w:rPr>
          <w:rFonts w:ascii="Times New Roman" w:eastAsia="宋体" w:hAnsi="Times New Roman" w:cs="Times New Roman" w:hint="eastAsia"/>
        </w:rPr>
        <w:t>向外移动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w:t>
      </w:r>
      <w:r w:rsidRPr="00EF7DFB">
        <w:rPr>
          <w:rFonts w:ascii="Times New Roman" w:eastAsia="宋体" w:hAnsi="Times New Roman" w:cs="Times New Roman" w:hint="eastAsia"/>
        </w:rPr>
        <w:t>向内移动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w:t>
      </w:r>
      <w:r w:rsidRPr="00EF7DFB">
        <w:rPr>
          <w:rFonts w:ascii="Times New Roman" w:eastAsia="宋体" w:hAnsi="Times New Roman" w:cs="Times New Roman" w:hint="eastAsia"/>
        </w:rPr>
        <w:t>变得更加陡峭</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w:t>
      </w:r>
      <w:r w:rsidRPr="00EF7DFB">
        <w:rPr>
          <w:rFonts w:ascii="Times New Roman" w:eastAsia="宋体" w:hAnsi="Times New Roman" w:cs="Times New Roman" w:hint="eastAsia"/>
        </w:rPr>
        <w:t>变得更加平缓</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6.</w:t>
      </w:r>
      <w:r w:rsidRPr="00EF7DFB">
        <w:rPr>
          <w:rFonts w:ascii="Times New Roman" w:eastAsia="宋体" w:hAnsi="Times New Roman" w:cs="Times New Roman"/>
        </w:rPr>
        <w:t>下列产品中，能够计入当年</w:t>
      </w:r>
      <w:r w:rsidRPr="00EF7DFB">
        <w:rPr>
          <w:rFonts w:ascii="Times New Roman" w:eastAsia="宋体" w:hAnsi="Times New Roman" w:cs="Times New Roman"/>
        </w:rPr>
        <w:t>GDP</w:t>
      </w:r>
      <w:r w:rsidRPr="00EF7DFB">
        <w:rPr>
          <w:rFonts w:ascii="Times New Roman" w:eastAsia="宋体" w:hAnsi="Times New Roman" w:cs="Times New Roman"/>
        </w:rPr>
        <w:t>的是</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中央政府对地方政府的转移支付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某人花</w:t>
      </w:r>
      <w:r w:rsidRPr="00EF7DFB">
        <w:rPr>
          <w:rFonts w:ascii="Times New Roman" w:eastAsia="宋体" w:hAnsi="Times New Roman" w:cs="Times New Roman"/>
        </w:rPr>
        <w:t>100</w:t>
      </w:r>
      <w:r w:rsidRPr="00EF7DFB">
        <w:rPr>
          <w:rFonts w:ascii="Times New Roman" w:eastAsia="宋体" w:hAnsi="Times New Roman" w:cs="Times New Roman"/>
        </w:rPr>
        <w:t>万美元在美国买的一栋新房</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企业从国外购买的一台服务器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某企业当年生产没有卖掉的</w:t>
      </w:r>
      <w:r w:rsidRPr="00EF7DFB">
        <w:rPr>
          <w:rFonts w:ascii="Times New Roman" w:eastAsia="宋体" w:hAnsi="Times New Roman" w:cs="Times New Roman"/>
        </w:rPr>
        <w:t>20</w:t>
      </w:r>
      <w:r w:rsidRPr="00EF7DFB">
        <w:rPr>
          <w:rFonts w:ascii="Times New Roman" w:eastAsia="宋体" w:hAnsi="Times New Roman" w:cs="Times New Roman"/>
        </w:rPr>
        <w:t>万元产品</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7.</w:t>
      </w:r>
      <w:r w:rsidRPr="00EF7DFB">
        <w:rPr>
          <w:rFonts w:ascii="Times New Roman" w:eastAsia="宋体" w:hAnsi="Times New Roman" w:cs="Times New Roman"/>
        </w:rPr>
        <w:t>在有技术进步的索</w:t>
      </w:r>
      <w:r w:rsidRPr="00EF7DFB">
        <w:rPr>
          <w:rFonts w:ascii="Times New Roman" w:eastAsia="宋体" w:hAnsi="Times New Roman" w:cs="Times New Roman" w:hint="eastAsia"/>
        </w:rPr>
        <w:t>洛</w:t>
      </w:r>
      <w:r w:rsidRPr="00EF7DFB">
        <w:rPr>
          <w:rFonts w:ascii="Times New Roman" w:eastAsia="宋体" w:hAnsi="Times New Roman" w:cs="Times New Roman"/>
        </w:rPr>
        <w:t>增长模型中，黄金律稳态下的特征是</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收入增长率等于技术进步率</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人均资本增长率等于技术进步率</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lastRenderedPageBreak/>
        <w:t>C.</w:t>
      </w:r>
      <w:r w:rsidRPr="00EF7DFB">
        <w:rPr>
          <w:rFonts w:ascii="Times New Roman" w:eastAsia="宋体" w:hAnsi="Times New Roman" w:cs="Times New Roman"/>
        </w:rPr>
        <w:t>资本收益率不变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资本净收益率等于技术进步率</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8.</w:t>
      </w:r>
      <w:r w:rsidRPr="00EF7DFB">
        <w:rPr>
          <w:rFonts w:ascii="Times New Roman" w:eastAsia="宋体" w:hAnsi="Times New Roman" w:cs="Times New Roman"/>
        </w:rPr>
        <w:t>如果储蓄与利率呈正相关关系，在可贷资金模型下，国外需求的下降会导致实际利率和投资如何变化？</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利率下降，投资不变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利率下降，投资升高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利率升高，投资不变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利率升高，投资下降</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9.</w:t>
      </w:r>
      <w:r w:rsidRPr="00EF7DFB">
        <w:rPr>
          <w:rFonts w:ascii="Times New Roman" w:eastAsia="宋体" w:hAnsi="Times New Roman" w:cs="Times New Roman"/>
        </w:rPr>
        <w:t>假设收入水平暂时高于自然率，在</w:t>
      </w:r>
      <w:r w:rsidRPr="00EF7DFB">
        <w:rPr>
          <w:rFonts w:ascii="Times New Roman" w:eastAsia="宋体" w:hAnsi="Times New Roman" w:cs="Times New Roman"/>
        </w:rPr>
        <w:t>IS-LM</w:t>
      </w:r>
      <w:r w:rsidRPr="00EF7DFB">
        <w:rPr>
          <w:rFonts w:ascii="Times New Roman" w:eastAsia="宋体" w:hAnsi="Times New Roman" w:cs="Times New Roman"/>
        </w:rPr>
        <w:t>模型中，价格水平如何变化才会使得长期均衡重</w:t>
      </w:r>
      <w:r w:rsidRPr="00EF7DFB">
        <w:rPr>
          <w:rFonts w:ascii="Times New Roman" w:eastAsia="宋体" w:hAnsi="Times New Roman" w:cs="Times New Roman" w:hint="eastAsia"/>
        </w:rPr>
        <w:t>新</w:t>
      </w:r>
      <w:r w:rsidRPr="00EF7DFB">
        <w:rPr>
          <w:rFonts w:ascii="Times New Roman" w:eastAsia="宋体" w:hAnsi="Times New Roman" w:cs="Times New Roman"/>
        </w:rPr>
        <w:t>实现？</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下降并且</w:t>
      </w:r>
      <w:r w:rsidRPr="00EF7DFB">
        <w:rPr>
          <w:rFonts w:ascii="Times New Roman" w:eastAsia="宋体" w:hAnsi="Times New Roman" w:cs="Times New Roman"/>
        </w:rPr>
        <w:t>LM</w:t>
      </w:r>
      <w:r w:rsidRPr="00EF7DFB">
        <w:rPr>
          <w:rFonts w:ascii="Times New Roman" w:eastAsia="宋体" w:hAnsi="Times New Roman" w:cs="Times New Roman"/>
        </w:rPr>
        <w:t>曲线向外移动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升高并且</w:t>
      </w:r>
      <w:r w:rsidRPr="00EF7DFB">
        <w:rPr>
          <w:rFonts w:ascii="Times New Roman" w:eastAsia="宋体" w:hAnsi="Times New Roman" w:cs="Times New Roman"/>
        </w:rPr>
        <w:t>LM</w:t>
      </w:r>
      <w:r w:rsidRPr="00EF7DFB">
        <w:rPr>
          <w:rFonts w:ascii="Times New Roman" w:eastAsia="宋体" w:hAnsi="Times New Roman" w:cs="Times New Roman"/>
        </w:rPr>
        <w:t>曲线向内移动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下降并且</w:t>
      </w:r>
      <w:r w:rsidRPr="00EF7DFB">
        <w:rPr>
          <w:rFonts w:ascii="Times New Roman" w:eastAsia="宋体" w:hAnsi="Times New Roman" w:cs="Times New Roman"/>
        </w:rPr>
        <w:t>IS</w:t>
      </w:r>
      <w:r w:rsidRPr="00EF7DFB">
        <w:rPr>
          <w:rFonts w:ascii="Times New Roman" w:eastAsia="宋体" w:hAnsi="Times New Roman" w:cs="Times New Roman"/>
        </w:rPr>
        <w:t>曲线向内移动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升高并且</w:t>
      </w:r>
      <w:r w:rsidRPr="00EF7DFB">
        <w:rPr>
          <w:rFonts w:ascii="Times New Roman" w:eastAsia="宋体" w:hAnsi="Times New Roman" w:cs="Times New Roman"/>
        </w:rPr>
        <w:t>IS</w:t>
      </w:r>
      <w:r w:rsidRPr="00EF7DFB">
        <w:rPr>
          <w:rFonts w:ascii="Times New Roman" w:eastAsia="宋体" w:hAnsi="Times New Roman" w:cs="Times New Roman"/>
        </w:rPr>
        <w:t>曲线向外移动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10.</w:t>
      </w:r>
      <w:r w:rsidRPr="00EF7DFB">
        <w:rPr>
          <w:rFonts w:ascii="Times New Roman" w:eastAsia="宋体" w:hAnsi="Times New Roman" w:cs="Times New Roman"/>
        </w:rPr>
        <w:t>下列哪</w:t>
      </w:r>
      <w:proofErr w:type="gramStart"/>
      <w:r w:rsidRPr="00EF7DFB">
        <w:rPr>
          <w:rFonts w:ascii="Times New Roman" w:eastAsia="宋体" w:hAnsi="Times New Roman" w:cs="Times New Roman"/>
        </w:rPr>
        <w:t>项属于</w:t>
      </w:r>
      <w:proofErr w:type="gramEnd"/>
      <w:r w:rsidRPr="00EF7DFB">
        <w:rPr>
          <w:rFonts w:ascii="Times New Roman" w:eastAsia="宋体" w:hAnsi="Times New Roman" w:cs="Times New Roman"/>
        </w:rPr>
        <w:t>未预期到的通货膨胀带来的成本？</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菜单成本</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鞋底成本</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相对价格扭曲</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财富的任意分配</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11.</w:t>
      </w:r>
      <w:r w:rsidRPr="00EF7DFB">
        <w:rPr>
          <w:rFonts w:ascii="Times New Roman" w:eastAsia="宋体" w:hAnsi="Times New Roman" w:cs="Times New Roman"/>
        </w:rPr>
        <w:t>在一个大型开放经济中，财政政策的效应</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对净出口的影响大于小型开放经济</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对收入的影响小于封闭经济</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对汇率的影响大于小型开放经济</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对利率的影响大于封闭经济</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12.</w:t>
      </w:r>
      <w:r w:rsidRPr="00EF7DFB">
        <w:rPr>
          <w:rFonts w:ascii="Times New Roman" w:eastAsia="宋体" w:hAnsi="Times New Roman" w:cs="Times New Roman"/>
        </w:rPr>
        <w:t>如果货币需求对利率更敏感，那么</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A.IS</w:t>
      </w:r>
      <w:r w:rsidRPr="00EF7DFB">
        <w:rPr>
          <w:rFonts w:ascii="Times New Roman" w:eastAsia="宋体" w:hAnsi="Times New Roman" w:cs="Times New Roman"/>
        </w:rPr>
        <w:t>曲线将变得更加陡峭</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B.IS</w:t>
      </w:r>
      <w:r w:rsidRPr="00EF7DFB">
        <w:rPr>
          <w:rFonts w:ascii="Times New Roman" w:eastAsia="宋体" w:hAnsi="Times New Roman" w:cs="Times New Roman"/>
        </w:rPr>
        <w:t>曲线将变得更加平坦</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C.LM</w:t>
      </w:r>
      <w:r w:rsidRPr="00EF7DFB">
        <w:rPr>
          <w:rFonts w:ascii="Times New Roman" w:eastAsia="宋体" w:hAnsi="Times New Roman" w:cs="Times New Roman"/>
        </w:rPr>
        <w:t>曲线将变得更加陡峭</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D.LM</w:t>
      </w:r>
      <w:r w:rsidRPr="00EF7DFB">
        <w:rPr>
          <w:rFonts w:ascii="Times New Roman" w:eastAsia="宋体" w:hAnsi="Times New Roman" w:cs="Times New Roman"/>
        </w:rPr>
        <w:t>曲线将变得更加平坦</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13.</w:t>
      </w:r>
      <w:r w:rsidRPr="00EF7DFB">
        <w:rPr>
          <w:rFonts w:ascii="Times New Roman" w:eastAsia="宋体" w:hAnsi="Times New Roman" w:cs="Times New Roman"/>
        </w:rPr>
        <w:t>资本流出的形式不包括</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lastRenderedPageBreak/>
        <w:t>A.</w:t>
      </w:r>
      <w:r w:rsidRPr="00EF7DFB">
        <w:rPr>
          <w:rFonts w:ascii="Times New Roman" w:eastAsia="宋体" w:hAnsi="Times New Roman" w:cs="Times New Roman"/>
        </w:rPr>
        <w:t>购买外国货币</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购买国外的机器设备</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购买国外的有价证券</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借钱给外国的主权政府</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14.</w:t>
      </w:r>
      <w:r w:rsidRPr="00EF7DFB">
        <w:rPr>
          <w:rFonts w:ascii="Times New Roman" w:eastAsia="宋体" w:hAnsi="Times New Roman" w:cs="Times New Roman"/>
        </w:rPr>
        <w:t>不可能三角是指</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固定汇率、独立货币政策和资本管制不能同时实现</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固定汇率、独立货币政策和资本自由流动不能同时实现</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浮动汇率、独立货币政策和资本管制不能同时实现</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浮动汇率、独立货币政策和资本自由流动不能同时实现</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15.</w:t>
      </w:r>
      <w:r w:rsidRPr="00EF7DFB">
        <w:rPr>
          <w:rFonts w:ascii="Times New Roman" w:eastAsia="宋体" w:hAnsi="Times New Roman" w:cs="Times New Roman"/>
        </w:rPr>
        <w:t>对于短期</w:t>
      </w:r>
      <w:r w:rsidRPr="00EF7DFB">
        <w:rPr>
          <w:rFonts w:ascii="Times New Roman" w:eastAsia="宋体" w:hAnsi="Times New Roman" w:cs="Times New Roman" w:hint="eastAsia"/>
        </w:rPr>
        <w:t>菲利</w:t>
      </w:r>
      <w:r w:rsidRPr="00EF7DFB">
        <w:rPr>
          <w:rFonts w:ascii="Times New Roman" w:eastAsia="宋体" w:hAnsi="Times New Roman" w:cs="Times New Roman"/>
        </w:rPr>
        <w:t>普斯曲线，预期通货膨胀</w:t>
      </w:r>
      <w:r w:rsidRPr="00EF7DFB">
        <w:rPr>
          <w:rFonts w:ascii="Times New Roman" w:eastAsia="宋体" w:hAnsi="Times New Roman" w:cs="Times New Roman" w:hint="eastAsia"/>
        </w:rPr>
        <w:t>率</w:t>
      </w:r>
      <w:r w:rsidRPr="00EF7DFB">
        <w:rPr>
          <w:rFonts w:ascii="Times New Roman" w:eastAsia="宋体" w:hAnsi="Times New Roman" w:cs="Times New Roman"/>
        </w:rPr>
        <w:t>的升高会导致</w:t>
      </w:r>
      <w:r w:rsidRPr="00EF7DFB">
        <w:rPr>
          <w:rFonts w:ascii="Times New Roman" w:eastAsia="宋体" w:hAnsi="Times New Roman" w:cs="Times New Roman" w:hint="eastAsia"/>
        </w:rPr>
        <w:t>（</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rPr>
        <w:t>短期菲利普斯曲线向外移动</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rPr>
        <w:t>政策制定者的选择更加容易</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rPr>
        <w:t>菲利普斯曲线变得更加陡峭</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rPr>
        <w:t>降低失业率会导致更低的通货膨胀</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16.</w:t>
      </w:r>
      <w:r w:rsidRPr="00EF7DFB">
        <w:rPr>
          <w:rFonts w:ascii="Times New Roman" w:eastAsia="宋体" w:hAnsi="Times New Roman" w:cs="Times New Roman"/>
        </w:rPr>
        <w:t>货币制度含义丰富，下列有关货币制度的说法正确的是（</w:t>
      </w:r>
      <w:r w:rsidRPr="00EF7DFB">
        <w:rPr>
          <w:rFonts w:ascii="Times New Roman" w:eastAsia="宋体" w:hAnsi="Times New Roman" w:cs="Times New Roman"/>
        </w:rPr>
        <w:t xml:space="preserve">    </w:t>
      </w:r>
      <w:r w:rsidRPr="00EF7DFB">
        <w:rPr>
          <w:rFonts w:ascii="Times New Roman" w:eastAsia="宋体" w:hAnsi="Times New Roman" w:cs="Times New Roman"/>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A</w:t>
      </w:r>
      <w:r w:rsidRPr="00EF7DFB">
        <w:rPr>
          <w:rFonts w:ascii="Times New Roman" w:eastAsia="宋体" w:hAnsi="Times New Roman" w:cs="Times New Roman" w:hint="eastAsia"/>
        </w:rPr>
        <w:t>.</w:t>
      </w:r>
      <w:r w:rsidRPr="00EF7DFB">
        <w:rPr>
          <w:rFonts w:ascii="Times New Roman" w:eastAsia="宋体" w:hAnsi="Times New Roman" w:cs="Times New Roman"/>
        </w:rPr>
        <w:t>国际货币制度主要包含确定国际储备资产</w:t>
      </w:r>
      <w:r w:rsidRPr="00EF7DFB">
        <w:rPr>
          <w:rFonts w:ascii="Times New Roman" w:eastAsia="宋体" w:hAnsi="Times New Roman" w:cs="Times New Roman" w:hint="eastAsia"/>
        </w:rPr>
        <w:t>、</w:t>
      </w:r>
      <w:r w:rsidRPr="00EF7DFB">
        <w:rPr>
          <w:rFonts w:ascii="Times New Roman" w:eastAsia="宋体" w:hAnsi="Times New Roman" w:cs="Times New Roman"/>
        </w:rPr>
        <w:t>安排汇率制度以及选择国际收支调节方式等内容</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B</w:t>
      </w:r>
      <w:r w:rsidRPr="00EF7DFB">
        <w:rPr>
          <w:rFonts w:ascii="Times New Roman" w:eastAsia="宋体" w:hAnsi="Times New Roman" w:cs="Times New Roman" w:hint="eastAsia"/>
        </w:rPr>
        <w:t>.</w:t>
      </w:r>
      <w:r w:rsidRPr="00EF7DFB">
        <w:rPr>
          <w:rFonts w:ascii="Times New Roman" w:eastAsia="宋体" w:hAnsi="Times New Roman" w:cs="Times New Roman"/>
        </w:rPr>
        <w:t>特里芬难题出现在金银复本位制下</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C</w:t>
      </w:r>
      <w:r w:rsidRPr="00EF7DFB">
        <w:rPr>
          <w:rFonts w:ascii="Times New Roman" w:eastAsia="宋体" w:hAnsi="Times New Roman" w:cs="Times New Roman" w:hint="eastAsia"/>
        </w:rPr>
        <w:t>.</w:t>
      </w:r>
      <w:r w:rsidRPr="00EF7DFB">
        <w:rPr>
          <w:rFonts w:ascii="Times New Roman" w:eastAsia="宋体" w:hAnsi="Times New Roman" w:cs="Times New Roman"/>
        </w:rPr>
        <w:t>金块本位制下，银行券可在国内自由兑换为金块</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D</w:t>
      </w:r>
      <w:r w:rsidRPr="00EF7DFB">
        <w:rPr>
          <w:rFonts w:ascii="Times New Roman" w:eastAsia="宋体" w:hAnsi="Times New Roman" w:cs="Times New Roman" w:hint="eastAsia"/>
        </w:rPr>
        <w:t>.</w:t>
      </w:r>
      <w:r w:rsidRPr="00EF7DFB">
        <w:rPr>
          <w:rFonts w:ascii="Times New Roman" w:eastAsia="宋体" w:hAnsi="Times New Roman" w:cs="Times New Roman"/>
        </w:rPr>
        <w:t>金汇兑本位制下，银行券可在国内有限制</w:t>
      </w:r>
      <w:r w:rsidRPr="00EF7DFB">
        <w:rPr>
          <w:rFonts w:ascii="Times New Roman" w:eastAsia="宋体" w:hAnsi="Times New Roman" w:cs="Times New Roman" w:hint="eastAsia"/>
        </w:rPr>
        <w:t>地</w:t>
      </w:r>
      <w:r w:rsidRPr="00EF7DFB">
        <w:rPr>
          <w:rFonts w:ascii="Times New Roman" w:eastAsia="宋体" w:hAnsi="Times New Roman" w:cs="Times New Roman"/>
        </w:rPr>
        <w:t>兑换黄金</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我国消费信用迅猛发展，下列不属于消费信用形式的是（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商业信用</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对消费者赊销商品</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客户分期付款购买消费品</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消费贷款</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关于利率决定理论，下列表述不正确的是（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古典利率理论认为利率是货币的价格</w:t>
      </w:r>
      <w:r w:rsidRPr="00EF7DFB">
        <w:rPr>
          <w:rFonts w:ascii="Times New Roman" w:eastAsia="宋体" w:hAnsi="Times New Roman" w:cs="Times New Roman" w:hint="eastAsia"/>
          <w:szCs w:val="21"/>
        </w:rPr>
        <w:t>，</w:t>
      </w:r>
      <w:r w:rsidRPr="00EF7DFB">
        <w:rPr>
          <w:rFonts w:ascii="Times New Roman" w:eastAsia="宋体" w:hAnsi="Times New Roman" w:cs="Times New Roman"/>
          <w:szCs w:val="21"/>
        </w:rPr>
        <w:t>凯恩斯利率理论认为利率是资本的价格</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一般来说，利率与经济周期是同步关系</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可贷资金利率理论是对古典利率理论和凯恩斯利率理论的折</w:t>
      </w:r>
      <w:r w:rsidRPr="00EF7DFB">
        <w:rPr>
          <w:rFonts w:ascii="Times New Roman" w:eastAsia="宋体" w:hAnsi="Times New Roman" w:cs="Times New Roman" w:hint="eastAsia"/>
          <w:szCs w:val="21"/>
        </w:rPr>
        <w:t>中</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根据流动性偏好理论，处于流动性陷阱状态下，货币政策无效，财政政策非常有效，</w:t>
      </w:r>
      <w:r w:rsidRPr="00EF7DFB">
        <w:rPr>
          <w:rFonts w:ascii="Times New Roman" w:eastAsia="宋体" w:hAnsi="Times New Roman" w:cs="Times New Roman"/>
          <w:szCs w:val="21"/>
        </w:rPr>
        <w:lastRenderedPageBreak/>
        <w:t>且无挤出效应</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金融市场可以通过资产组合来规避风险，但是无法规避所有风险，例如（</w:t>
      </w:r>
      <w:r w:rsidRPr="00EF7DFB">
        <w:rPr>
          <w:rFonts w:ascii="Times New Roman" w:eastAsia="宋体" w:hAnsi="Times New Roman" w:cs="Times New Roman"/>
          <w:color w:val="000000"/>
          <w:szCs w:val="21"/>
        </w:rPr>
        <w:t xml:space="preserve">    </w:t>
      </w:r>
      <w:r w:rsidRPr="00EF7DFB">
        <w:rPr>
          <w:rFonts w:ascii="Times New Roman" w:eastAsia="宋体" w:hAnsi="Times New Roman" w:cs="Times New Roman"/>
          <w:color w:val="000000"/>
          <w:szCs w:val="21"/>
        </w:rPr>
        <w:t>）。</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A.</w:t>
      </w:r>
      <w:r w:rsidRPr="00EF7DFB">
        <w:rPr>
          <w:rFonts w:ascii="Times New Roman" w:eastAsia="宋体" w:hAnsi="Times New Roman" w:cs="Times New Roman"/>
          <w:color w:val="000000"/>
          <w:szCs w:val="21"/>
        </w:rPr>
        <w:t>信用风险</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B.</w:t>
      </w:r>
      <w:r w:rsidRPr="00EF7DFB">
        <w:rPr>
          <w:rFonts w:ascii="Times New Roman" w:eastAsia="宋体" w:hAnsi="Times New Roman" w:cs="Times New Roman" w:hint="eastAsia"/>
          <w:color w:val="000000"/>
          <w:szCs w:val="21"/>
        </w:rPr>
        <w:t>操作风险</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C.</w:t>
      </w:r>
      <w:r w:rsidRPr="00EF7DFB">
        <w:rPr>
          <w:rFonts w:ascii="Times New Roman" w:eastAsia="宋体" w:hAnsi="Times New Roman" w:cs="Times New Roman"/>
          <w:color w:val="000000"/>
          <w:szCs w:val="21"/>
        </w:rPr>
        <w:t>流动性风险</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D.</w:t>
      </w:r>
      <w:r w:rsidRPr="00EF7DFB">
        <w:rPr>
          <w:rFonts w:ascii="Times New Roman" w:eastAsia="宋体" w:hAnsi="Times New Roman" w:cs="Times New Roman"/>
          <w:color w:val="000000"/>
          <w:szCs w:val="21"/>
        </w:rPr>
        <w:t>市场风险</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商业银行表外业务包括中间业务和创新的表外业务。下列属于创新的表外业务的是（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货币兑换、保管、汇兑业务</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结算、代理、信息咨询业务</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信托、理财、银行卡业务</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票据发行便利、回购协议</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下列关于金融监管和金融创新的表述，不正确的是（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金融监管总是阻碍金融创新</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金融创新是货币政策失灵</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金融创新加大金融机构的风险</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金融创新加大金</w:t>
      </w:r>
      <w:r w:rsidRPr="00EF7DFB">
        <w:rPr>
          <w:rFonts w:ascii="Times New Roman" w:eastAsia="宋体" w:hAnsi="Times New Roman" w:cs="Times New Roman" w:hint="eastAsia"/>
          <w:szCs w:val="21"/>
        </w:rPr>
        <w:t>融</w:t>
      </w:r>
      <w:r w:rsidRPr="00EF7DFB">
        <w:rPr>
          <w:rFonts w:ascii="Times New Roman" w:eastAsia="宋体" w:hAnsi="Times New Roman" w:cs="Times New Roman"/>
          <w:szCs w:val="21"/>
        </w:rPr>
        <w:t>监管难度</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促使现代银行从资产管理转向负债管理的重要金融创新是（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央行票据</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银行承兑汇票</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大额可转让存单</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同业拆借</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2017</w:t>
      </w:r>
      <w:r w:rsidRPr="00EF7DFB">
        <w:rPr>
          <w:rFonts w:ascii="Times New Roman" w:eastAsia="宋体" w:hAnsi="Times New Roman" w:cs="Times New Roman"/>
          <w:szCs w:val="21"/>
        </w:rPr>
        <w:t>年</w:t>
      </w:r>
      <w:r w:rsidRPr="00EF7DFB">
        <w:rPr>
          <w:rFonts w:ascii="Times New Roman" w:eastAsia="宋体" w:hAnsi="Times New Roman" w:cs="Times New Roman"/>
          <w:szCs w:val="21"/>
        </w:rPr>
        <w:t>8</w:t>
      </w:r>
      <w:r w:rsidRPr="00EF7DFB">
        <w:rPr>
          <w:rFonts w:ascii="Times New Roman" w:eastAsia="宋体" w:hAnsi="Times New Roman" w:cs="Times New Roman"/>
          <w:szCs w:val="21"/>
        </w:rPr>
        <w:t>月我国的</w:t>
      </w:r>
      <w:r w:rsidRPr="00EF7DFB">
        <w:rPr>
          <w:rFonts w:ascii="Times New Roman" w:eastAsia="宋体" w:hAnsi="Times New Roman" w:cs="Times New Roman"/>
          <w:szCs w:val="21"/>
        </w:rPr>
        <w:t>M</w:t>
      </w:r>
      <w:r w:rsidRPr="00EF7DFB">
        <w:rPr>
          <w:rFonts w:ascii="Times New Roman" w:eastAsia="宋体" w:hAnsi="Times New Roman" w:cs="Times New Roman"/>
          <w:szCs w:val="21"/>
          <w:vertAlign w:val="subscript"/>
        </w:rPr>
        <w:t>0</w:t>
      </w:r>
      <w:r w:rsidRPr="00EF7DFB">
        <w:rPr>
          <w:rFonts w:ascii="Times New Roman" w:eastAsia="宋体" w:hAnsi="Times New Roman" w:cs="Times New Roman"/>
          <w:szCs w:val="21"/>
        </w:rPr>
        <w:t>、</w:t>
      </w:r>
      <w:r w:rsidRPr="00EF7DFB">
        <w:rPr>
          <w:rFonts w:ascii="Times New Roman" w:eastAsia="宋体" w:hAnsi="Times New Roman" w:cs="Times New Roman"/>
          <w:szCs w:val="21"/>
        </w:rPr>
        <w:t>M</w:t>
      </w:r>
      <w:r w:rsidRPr="00EF7DFB">
        <w:rPr>
          <w:rFonts w:ascii="Times New Roman" w:eastAsia="宋体" w:hAnsi="Times New Roman" w:cs="Times New Roman"/>
          <w:szCs w:val="21"/>
          <w:vertAlign w:val="subscript"/>
        </w:rPr>
        <w:t>1</w:t>
      </w:r>
      <w:r w:rsidRPr="00EF7DFB">
        <w:rPr>
          <w:rFonts w:ascii="Times New Roman" w:eastAsia="宋体" w:hAnsi="Times New Roman" w:cs="Times New Roman"/>
          <w:szCs w:val="21"/>
        </w:rPr>
        <w:t>、</w:t>
      </w:r>
      <w:r w:rsidRPr="00EF7DFB">
        <w:rPr>
          <w:rFonts w:ascii="Times New Roman" w:eastAsia="宋体" w:hAnsi="Times New Roman" w:cs="Times New Roman"/>
          <w:szCs w:val="21"/>
        </w:rPr>
        <w:t>M</w:t>
      </w:r>
      <w:r w:rsidRPr="00EF7DFB">
        <w:rPr>
          <w:rFonts w:ascii="Times New Roman" w:eastAsia="宋体" w:hAnsi="Times New Roman" w:cs="Times New Roman"/>
          <w:szCs w:val="21"/>
          <w:vertAlign w:val="subscript"/>
        </w:rPr>
        <w:t>2</w:t>
      </w:r>
      <w:r w:rsidRPr="00EF7DFB">
        <w:rPr>
          <w:rFonts w:ascii="Times New Roman" w:eastAsia="宋体" w:hAnsi="Times New Roman" w:cs="Times New Roman"/>
          <w:szCs w:val="21"/>
        </w:rPr>
        <w:t>分别是</w:t>
      </w:r>
      <w:r w:rsidRPr="00EF7DFB">
        <w:rPr>
          <w:rFonts w:ascii="Times New Roman" w:eastAsia="宋体" w:hAnsi="Times New Roman" w:cs="Times New Roman"/>
          <w:szCs w:val="21"/>
        </w:rPr>
        <w:t>68605.05</w:t>
      </w:r>
      <w:r w:rsidRPr="00EF7DFB">
        <w:rPr>
          <w:rFonts w:ascii="Times New Roman" w:eastAsia="宋体" w:hAnsi="Times New Roman" w:cs="Times New Roman"/>
          <w:szCs w:val="21"/>
        </w:rPr>
        <w:t>亿元、</w:t>
      </w:r>
      <w:r w:rsidRPr="00EF7DFB">
        <w:rPr>
          <w:rFonts w:ascii="Times New Roman" w:eastAsia="宋体" w:hAnsi="Times New Roman" w:cs="Times New Roman"/>
          <w:szCs w:val="21"/>
        </w:rPr>
        <w:t>488770.09</w:t>
      </w:r>
      <w:r w:rsidRPr="00EF7DFB">
        <w:rPr>
          <w:rFonts w:ascii="Times New Roman" w:eastAsia="宋体" w:hAnsi="Times New Roman" w:cs="Times New Roman"/>
          <w:szCs w:val="21"/>
        </w:rPr>
        <w:t>亿元和</w:t>
      </w:r>
      <w:r w:rsidRPr="00EF7DFB">
        <w:rPr>
          <w:rFonts w:ascii="Times New Roman" w:eastAsia="宋体" w:hAnsi="Times New Roman" w:cs="Times New Roman"/>
          <w:szCs w:val="21"/>
        </w:rPr>
        <w:t>1599609.57</w:t>
      </w:r>
      <w:r w:rsidRPr="00EF7DFB">
        <w:rPr>
          <w:rFonts w:ascii="Times New Roman" w:eastAsia="宋体" w:hAnsi="Times New Roman" w:cs="Times New Roman"/>
          <w:szCs w:val="21"/>
        </w:rPr>
        <w:t>亿元，由此可知我国此时的准货币是（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A.420165.04</w:t>
      </w:r>
      <w:r w:rsidRPr="00EF7DFB">
        <w:rPr>
          <w:rFonts w:ascii="Times New Roman" w:eastAsia="宋体" w:hAnsi="Times New Roman" w:cs="Times New Roman"/>
          <w:szCs w:val="21"/>
        </w:rPr>
        <w:t>亿元</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B.1110839.48</w:t>
      </w:r>
      <w:r w:rsidRPr="00EF7DFB">
        <w:rPr>
          <w:rFonts w:ascii="Times New Roman" w:eastAsia="宋体" w:hAnsi="Times New Roman" w:cs="Times New Roman"/>
          <w:szCs w:val="21"/>
        </w:rPr>
        <w:t>亿元</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C.1531004.52</w:t>
      </w:r>
      <w:r w:rsidRPr="00EF7DFB">
        <w:rPr>
          <w:rFonts w:ascii="Times New Roman" w:eastAsia="宋体" w:hAnsi="Times New Roman" w:cs="Times New Roman"/>
          <w:szCs w:val="21"/>
        </w:rPr>
        <w:t>亿元</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D.1599609.57</w:t>
      </w:r>
      <w:r w:rsidRPr="00EF7DFB">
        <w:rPr>
          <w:rFonts w:ascii="Times New Roman" w:eastAsia="宋体" w:hAnsi="Times New Roman" w:cs="Times New Roman"/>
          <w:szCs w:val="21"/>
        </w:rPr>
        <w:t>亿元</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下列哪个选项构成了基础货币？（</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超额准备金、活期存款、库存现金</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lastRenderedPageBreak/>
        <w:t>B.</w:t>
      </w:r>
      <w:r w:rsidRPr="00EF7DFB">
        <w:rPr>
          <w:rFonts w:ascii="Times New Roman" w:eastAsia="宋体" w:hAnsi="Times New Roman" w:cs="Times New Roman"/>
          <w:szCs w:val="21"/>
        </w:rPr>
        <w:t>活期存款、法定准备金存款、库存现金</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法定存款准备金、派生存款、流通中的现金</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准备金存款、库存现金、流通中的现金</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如果存款准备金率为</w:t>
      </w:r>
      <w:r w:rsidRPr="00EF7DFB">
        <w:rPr>
          <w:rFonts w:ascii="Times New Roman" w:eastAsia="宋体" w:hAnsi="Times New Roman" w:cs="Times New Roman"/>
          <w:szCs w:val="21"/>
        </w:rPr>
        <w:t>15%</w:t>
      </w:r>
      <w:r w:rsidRPr="00EF7DFB">
        <w:rPr>
          <w:rFonts w:ascii="Times New Roman" w:eastAsia="宋体" w:hAnsi="Times New Roman" w:cs="Times New Roman"/>
          <w:szCs w:val="21"/>
        </w:rPr>
        <w:t>，现金</w:t>
      </w:r>
      <w:r w:rsidRPr="00EF7DFB">
        <w:rPr>
          <w:rFonts w:ascii="Times New Roman" w:eastAsia="宋体" w:hAnsi="Times New Roman" w:cs="Times New Roman"/>
          <w:szCs w:val="21"/>
        </w:rPr>
        <w:t>-</w:t>
      </w:r>
      <w:r w:rsidRPr="00EF7DFB">
        <w:rPr>
          <w:rFonts w:ascii="Times New Roman" w:eastAsia="宋体" w:hAnsi="Times New Roman" w:cs="Times New Roman"/>
          <w:szCs w:val="21"/>
        </w:rPr>
        <w:t>存款比例为</w:t>
      </w:r>
      <w:r w:rsidRPr="00EF7DFB">
        <w:rPr>
          <w:rFonts w:ascii="Times New Roman" w:eastAsia="宋体" w:hAnsi="Times New Roman" w:cs="Times New Roman"/>
          <w:szCs w:val="21"/>
        </w:rPr>
        <w:t>30%</w:t>
      </w:r>
      <w:r w:rsidRPr="00EF7DFB">
        <w:rPr>
          <w:rFonts w:ascii="Times New Roman" w:eastAsia="宋体" w:hAnsi="Times New Roman" w:cs="Times New Roman"/>
          <w:szCs w:val="21"/>
        </w:rPr>
        <w:t>，货币乘数为（</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EF7DFB">
          <w:rPr>
            <w:rFonts w:ascii="Times New Roman" w:eastAsia="宋体" w:hAnsi="Times New Roman" w:cs="Times New Roman"/>
            <w:szCs w:val="21"/>
          </w:rPr>
          <w:t>A.2.9</w:t>
        </w:r>
      </w:smartTag>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B.6.7</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C.3.3</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D.4.2</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关于货币政策传导机制理论，下列表述不正确的是（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凯恩斯学派认为货币供给影响货币价格，从而影响投资和储蓄</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莫迪里</w:t>
      </w:r>
      <w:r w:rsidRPr="00EF7DFB">
        <w:rPr>
          <w:rFonts w:ascii="Times New Roman" w:eastAsia="宋体" w:hAnsi="Times New Roman" w:cs="Times New Roman" w:hint="eastAsia"/>
          <w:szCs w:val="21"/>
        </w:rPr>
        <w:t>安</w:t>
      </w:r>
      <w:r w:rsidRPr="00EF7DFB">
        <w:rPr>
          <w:rFonts w:ascii="Times New Roman" w:eastAsia="宋体" w:hAnsi="Times New Roman" w:cs="Times New Roman"/>
          <w:szCs w:val="21"/>
        </w:rPr>
        <w:t>尼认为资本价格变动引起的财富效应是货币政策传导的最重要环节</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托</w:t>
      </w:r>
      <w:proofErr w:type="gramStart"/>
      <w:r w:rsidRPr="00EF7DFB">
        <w:rPr>
          <w:rFonts w:ascii="Times New Roman" w:eastAsia="宋体" w:hAnsi="Times New Roman" w:cs="Times New Roman"/>
          <w:szCs w:val="21"/>
        </w:rPr>
        <w:t>宾认为</w:t>
      </w:r>
      <w:proofErr w:type="gramEnd"/>
      <w:r w:rsidRPr="00EF7DFB">
        <w:rPr>
          <w:rFonts w:ascii="Times New Roman" w:eastAsia="宋体" w:hAnsi="Times New Roman" w:cs="Times New Roman"/>
          <w:szCs w:val="21"/>
        </w:rPr>
        <w:t>利率影响企业的股票价格，进而影响</w:t>
      </w:r>
      <w:r w:rsidRPr="00EF7DFB">
        <w:rPr>
          <w:rFonts w:ascii="Times New Roman" w:eastAsia="宋体" w:hAnsi="Times New Roman" w:cs="Times New Roman"/>
          <w:szCs w:val="21"/>
        </w:rPr>
        <w:t>q</w:t>
      </w:r>
      <w:r w:rsidRPr="00EF7DFB">
        <w:rPr>
          <w:rFonts w:ascii="Times New Roman" w:eastAsia="宋体" w:hAnsi="Times New Roman" w:cs="Times New Roman"/>
          <w:szCs w:val="21"/>
        </w:rPr>
        <w:t>和企业的投资</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信贷传导认为货币需求没有变化，货币供给改变了资产收益率</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中央银行具有多种职能，</w:t>
      </w:r>
      <w:proofErr w:type="gramStart"/>
      <w:r w:rsidRPr="00EF7DFB">
        <w:rPr>
          <w:rFonts w:ascii="Times New Roman" w:eastAsia="宋体" w:hAnsi="Times New Roman" w:cs="Times New Roman"/>
          <w:szCs w:val="21"/>
        </w:rPr>
        <w:t>下列体现</w:t>
      </w:r>
      <w:proofErr w:type="gramEnd"/>
      <w:r w:rsidRPr="00EF7DFB">
        <w:rPr>
          <w:rFonts w:ascii="Times New Roman" w:eastAsia="宋体" w:hAnsi="Times New Roman" w:cs="Times New Roman"/>
          <w:szCs w:val="21"/>
        </w:rPr>
        <w:t>其</w:t>
      </w:r>
      <w:r w:rsidRPr="00EF7DFB">
        <w:rPr>
          <w:rFonts w:ascii="Times New Roman" w:eastAsia="宋体" w:hAnsi="Times New Roman" w:cs="Times New Roman"/>
          <w:szCs w:val="21"/>
        </w:rPr>
        <w:t>“</w:t>
      </w:r>
      <w:r w:rsidRPr="00EF7DFB">
        <w:rPr>
          <w:rFonts w:ascii="Times New Roman" w:eastAsia="宋体" w:hAnsi="Times New Roman" w:cs="Times New Roman"/>
          <w:szCs w:val="21"/>
        </w:rPr>
        <w:t>银行的银行</w:t>
      </w:r>
      <w:r w:rsidRPr="00EF7DFB">
        <w:rPr>
          <w:rFonts w:ascii="Times New Roman" w:eastAsia="宋体" w:hAnsi="Times New Roman" w:cs="Times New Roman"/>
          <w:szCs w:val="21"/>
        </w:rPr>
        <w:t>”</w:t>
      </w:r>
      <w:r w:rsidRPr="00EF7DFB">
        <w:rPr>
          <w:rFonts w:ascii="Times New Roman" w:eastAsia="宋体" w:hAnsi="Times New Roman" w:cs="Times New Roman"/>
          <w:szCs w:val="21"/>
        </w:rPr>
        <w:t>职能的是（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金融危机期间，美联储向货币市场大肆注入流动性</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俄罗斯央行行长跟随总统参加布里斯班</w:t>
      </w:r>
      <w:r w:rsidRPr="00EF7DFB">
        <w:rPr>
          <w:rFonts w:ascii="Times New Roman" w:eastAsia="宋体" w:hAnsi="Times New Roman" w:cs="Times New Roman"/>
          <w:szCs w:val="21"/>
        </w:rPr>
        <w:t>G20</w:t>
      </w:r>
      <w:r w:rsidRPr="00EF7DFB">
        <w:rPr>
          <w:rFonts w:ascii="Times New Roman" w:eastAsia="宋体" w:hAnsi="Times New Roman" w:cs="Times New Roman"/>
          <w:szCs w:val="21"/>
        </w:rPr>
        <w:t>会议</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据央行数据显示，截至</w:t>
      </w:r>
      <w:r w:rsidRPr="00EF7DFB">
        <w:rPr>
          <w:rFonts w:ascii="Times New Roman" w:eastAsia="宋体" w:hAnsi="Times New Roman" w:cs="Times New Roman"/>
          <w:szCs w:val="21"/>
        </w:rPr>
        <w:t>2014</w:t>
      </w:r>
      <w:r w:rsidRPr="00EF7DFB">
        <w:rPr>
          <w:rFonts w:ascii="Times New Roman" w:eastAsia="宋体" w:hAnsi="Times New Roman" w:cs="Times New Roman"/>
          <w:szCs w:val="21"/>
        </w:rPr>
        <w:t>年</w:t>
      </w:r>
      <w:r w:rsidRPr="00EF7DFB">
        <w:rPr>
          <w:rFonts w:ascii="Times New Roman" w:eastAsia="宋体" w:hAnsi="Times New Roman" w:cs="Times New Roman"/>
          <w:szCs w:val="21"/>
        </w:rPr>
        <w:t>3</w:t>
      </w:r>
      <w:r w:rsidRPr="00EF7DFB">
        <w:rPr>
          <w:rFonts w:ascii="Times New Roman" w:eastAsia="宋体" w:hAnsi="Times New Roman" w:cs="Times New Roman"/>
          <w:szCs w:val="21"/>
        </w:rPr>
        <w:t>月底我国外汇储备余额为</w:t>
      </w:r>
      <w:r w:rsidRPr="00EF7DFB">
        <w:rPr>
          <w:rFonts w:ascii="Times New Roman" w:eastAsia="宋体" w:hAnsi="Times New Roman" w:cs="Times New Roman"/>
          <w:szCs w:val="21"/>
        </w:rPr>
        <w:t>3.95</w:t>
      </w:r>
      <w:proofErr w:type="gramStart"/>
      <w:r w:rsidRPr="00EF7DFB">
        <w:rPr>
          <w:rFonts w:ascii="Times New Roman" w:eastAsia="宋体" w:hAnsi="Times New Roman" w:cs="Times New Roman"/>
          <w:szCs w:val="21"/>
        </w:rPr>
        <w:t>万亿</w:t>
      </w:r>
      <w:proofErr w:type="gramEnd"/>
      <w:r w:rsidRPr="00EF7DFB">
        <w:rPr>
          <w:rFonts w:ascii="Times New Roman" w:eastAsia="宋体" w:hAnsi="Times New Roman" w:cs="Times New Roman"/>
          <w:szCs w:val="21"/>
        </w:rPr>
        <w:t>美元，位居世界第一</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央行在二级市场购买国债</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我国汇率标价采取直接标价法，但是近来很</w:t>
      </w:r>
      <w:r w:rsidRPr="00EF7DFB">
        <w:rPr>
          <w:rFonts w:ascii="Times New Roman" w:eastAsia="宋体" w:hAnsi="Times New Roman" w:cs="Times New Roman" w:hint="eastAsia"/>
          <w:szCs w:val="21"/>
        </w:rPr>
        <w:t>多</w:t>
      </w:r>
      <w:r w:rsidRPr="00EF7DFB">
        <w:rPr>
          <w:rFonts w:ascii="Times New Roman" w:eastAsia="宋体" w:hAnsi="Times New Roman" w:cs="Times New Roman"/>
          <w:szCs w:val="21"/>
        </w:rPr>
        <w:t>金融机构使用间接标价法衡量人民币涨跌情况，下列关于汇率标价方法的表述中，正确的是（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直接标价法是以一定数量的本币为基准来计算应收多少外币的汇率标价方法</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间接标价法下，汇率等式右边的数值缩小意味着外币对内贬值</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直接标价法下，汇率的买入价小于卖出价，两者价差为银行的利润</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直接标价法下，汇率等式右边的数值扩大意味着本币对外升值</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hint="eastAsia"/>
          <w:szCs w:val="21"/>
        </w:rPr>
        <w:t>根据单因子套利模型，公司证券预期收益与上一期收益、预期收益与实际收益的差异、公司因素引起的收益波动相关。假设上一期收益为</w:t>
      </w:r>
      <w:r w:rsidRPr="00EF7DFB">
        <w:rPr>
          <w:rFonts w:ascii="Times New Roman" w:eastAsia="宋体" w:hAnsi="Times New Roman" w:cs="Times New Roman" w:hint="eastAsia"/>
          <w:szCs w:val="21"/>
        </w:rPr>
        <w:t>1%</w:t>
      </w:r>
      <w:r w:rsidRPr="00EF7DFB">
        <w:rPr>
          <w:rFonts w:ascii="Times New Roman" w:eastAsia="宋体" w:hAnsi="Times New Roman" w:cs="Times New Roman" w:hint="eastAsia"/>
          <w:szCs w:val="21"/>
        </w:rPr>
        <w:t>，预期收益为</w:t>
      </w:r>
      <w:r w:rsidRPr="00EF7DFB">
        <w:rPr>
          <w:rFonts w:ascii="Times New Roman" w:eastAsia="宋体" w:hAnsi="Times New Roman" w:cs="Times New Roman" w:hint="eastAsia"/>
          <w:szCs w:val="21"/>
        </w:rPr>
        <w:t>10.5%</w:t>
      </w:r>
      <w:r w:rsidRPr="00EF7DFB">
        <w:rPr>
          <w:rFonts w:ascii="Times New Roman" w:eastAsia="宋体" w:hAnsi="Times New Roman" w:cs="Times New Roman" w:hint="eastAsia"/>
          <w:szCs w:val="21"/>
        </w:rPr>
        <w:t>，实际为</w:t>
      </w:r>
      <w:r w:rsidRPr="00EF7DFB">
        <w:rPr>
          <w:rFonts w:ascii="Times New Roman" w:eastAsia="宋体" w:hAnsi="Times New Roman" w:cs="Times New Roman" w:hint="eastAsia"/>
          <w:szCs w:val="21"/>
        </w:rPr>
        <w:t>9.5%</w:t>
      </w:r>
      <w:r w:rsidRPr="00EF7DFB">
        <w:rPr>
          <w:rFonts w:ascii="Times New Roman" w:eastAsia="宋体" w:hAnsi="Times New Roman" w:cs="Times New Roman" w:hint="eastAsia"/>
          <w:szCs w:val="21"/>
        </w:rPr>
        <w:t>，收益波动为</w:t>
      </w:r>
      <w:r w:rsidRPr="00EF7DFB">
        <w:rPr>
          <w:rFonts w:ascii="Times New Roman" w:eastAsia="宋体" w:hAnsi="Times New Roman" w:cs="Times New Roman" w:hint="eastAsia"/>
          <w:szCs w:val="21"/>
        </w:rPr>
        <w:t>3%</w:t>
      </w:r>
      <w:r w:rsidRPr="00EF7DFB">
        <w:rPr>
          <w:rFonts w:ascii="Times New Roman" w:eastAsia="宋体" w:hAnsi="Times New Roman" w:cs="Times New Roman" w:hint="eastAsia"/>
          <w:szCs w:val="21"/>
        </w:rPr>
        <w:t>，该证券的</w:t>
      </w:r>
      <m:oMath>
        <m:r>
          <m:rPr>
            <m:sty m:val="p"/>
          </m:rPr>
          <w:rPr>
            <w:rFonts w:ascii="Cambria Math" w:eastAsia="宋体" w:hAnsi="Cambria Math" w:cs="Times New Roman"/>
            <w:szCs w:val="21"/>
          </w:rPr>
          <m:t>β</m:t>
        </m:r>
      </m:oMath>
      <w:r w:rsidRPr="00EF7DFB">
        <w:rPr>
          <w:rFonts w:ascii="Times New Roman" w:eastAsia="宋体" w:hAnsi="Times New Roman" w:cs="Times New Roman" w:hint="eastAsia"/>
          <w:szCs w:val="21"/>
        </w:rPr>
        <w:t>系数为</w:t>
      </w:r>
      <w:r w:rsidRPr="00EF7DFB">
        <w:rPr>
          <w:rFonts w:ascii="Times New Roman" w:eastAsia="宋体" w:hAnsi="Times New Roman" w:cs="Times New Roman" w:hint="eastAsia"/>
          <w:szCs w:val="21"/>
        </w:rPr>
        <w:t>1.2</w:t>
      </w:r>
      <w:r w:rsidRPr="00EF7DFB">
        <w:rPr>
          <w:rFonts w:ascii="Times New Roman" w:eastAsia="宋体" w:hAnsi="Times New Roman" w:cs="Times New Roman" w:hint="eastAsia"/>
          <w:szCs w:val="21"/>
        </w:rPr>
        <w:t>，则该股票的收益率为（</w:t>
      </w:r>
      <w:r w:rsidRPr="00EF7DFB">
        <w:rPr>
          <w:rFonts w:ascii="Times New Roman" w:eastAsia="宋体" w:hAnsi="Times New Roman" w:cs="Times New Roman" w:hint="eastAsia"/>
          <w:szCs w:val="21"/>
        </w:rPr>
        <w:t xml:space="preserve">    </w:t>
      </w:r>
      <w:r w:rsidRPr="00EF7DFB">
        <w:rPr>
          <w:rFonts w:ascii="Times New Roman" w:eastAsia="宋体" w:hAnsi="Times New Roman" w:cs="Times New Roman" w:hint="eastAsia"/>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A.4%</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B.-3.6%</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lastRenderedPageBreak/>
        <w:t>C.-2.6%</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D.2.8%</w:t>
      </w:r>
    </w:p>
    <w:p w:rsidR="00EF7DFB" w:rsidRPr="00EF7DFB" w:rsidRDefault="00EF7DFB" w:rsidP="00EF7DFB">
      <w:pPr>
        <w:numPr>
          <w:ilvl w:val="0"/>
          <w:numId w:val="6"/>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作为新的交易品种，可交换债</w:t>
      </w:r>
      <w:r w:rsidRPr="00EF7DFB">
        <w:rPr>
          <w:rFonts w:ascii="Times New Roman" w:eastAsia="宋体" w:hAnsi="Times New Roman" w:cs="Times New Roman" w:hint="eastAsia"/>
          <w:szCs w:val="21"/>
        </w:rPr>
        <w:t>券</w:t>
      </w:r>
      <w:r w:rsidRPr="00EF7DFB">
        <w:rPr>
          <w:rFonts w:ascii="Times New Roman" w:eastAsia="宋体" w:hAnsi="Times New Roman" w:cs="Times New Roman"/>
          <w:szCs w:val="21"/>
        </w:rPr>
        <w:t>近两年来进入发</w:t>
      </w:r>
      <w:r w:rsidRPr="00EF7DFB">
        <w:rPr>
          <w:rFonts w:ascii="Times New Roman" w:eastAsia="宋体" w:hAnsi="Times New Roman" w:cs="Times New Roman" w:hint="eastAsia"/>
          <w:szCs w:val="21"/>
        </w:rPr>
        <w:t>行</w:t>
      </w:r>
      <w:r w:rsidRPr="00EF7DFB">
        <w:rPr>
          <w:rFonts w:ascii="Times New Roman" w:eastAsia="宋体" w:hAnsi="Times New Roman" w:cs="Times New Roman"/>
          <w:szCs w:val="21"/>
        </w:rPr>
        <w:t>人和投资者视野。关于可交换债券和</w:t>
      </w:r>
      <w:proofErr w:type="gramStart"/>
      <w:r w:rsidRPr="00EF7DFB">
        <w:rPr>
          <w:rFonts w:ascii="Times New Roman" w:eastAsia="宋体" w:hAnsi="Times New Roman" w:cs="Times New Roman"/>
          <w:szCs w:val="21"/>
        </w:rPr>
        <w:t>可</w:t>
      </w:r>
      <w:proofErr w:type="gramEnd"/>
      <w:r w:rsidRPr="00EF7DFB">
        <w:rPr>
          <w:rFonts w:ascii="Times New Roman" w:eastAsia="宋体" w:hAnsi="Times New Roman" w:cs="Times New Roman"/>
          <w:szCs w:val="21"/>
        </w:rPr>
        <w:t>转换债券，下列表述不正确的是（</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发债主体和偿债主体不同。可交换债券是上市公司的股东；可转换债券是上市公司本身</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发债目的不同。发</w:t>
      </w:r>
      <w:r w:rsidRPr="00EF7DFB">
        <w:rPr>
          <w:rFonts w:ascii="Times New Roman" w:eastAsia="宋体" w:hAnsi="Times New Roman" w:cs="Times New Roman" w:hint="eastAsia"/>
          <w:szCs w:val="21"/>
        </w:rPr>
        <w:t>行</w:t>
      </w:r>
      <w:r w:rsidRPr="00EF7DFB">
        <w:rPr>
          <w:rFonts w:ascii="Times New Roman" w:eastAsia="宋体" w:hAnsi="Times New Roman" w:cs="Times New Roman"/>
          <w:szCs w:val="21"/>
        </w:rPr>
        <w:t>可交换债券的目的具</w:t>
      </w:r>
      <w:r w:rsidRPr="00EF7DFB">
        <w:rPr>
          <w:rFonts w:ascii="Times New Roman" w:eastAsia="宋体" w:hAnsi="Times New Roman" w:cs="Times New Roman" w:hint="eastAsia"/>
          <w:szCs w:val="21"/>
        </w:rPr>
        <w:t>有</w:t>
      </w:r>
      <w:r w:rsidRPr="00EF7DFB">
        <w:rPr>
          <w:rFonts w:ascii="Times New Roman" w:eastAsia="宋体" w:hAnsi="Times New Roman" w:cs="Times New Roman"/>
          <w:szCs w:val="21"/>
        </w:rPr>
        <w:t>特殊性，通常并不为具体的投资项目，其发债的</w:t>
      </w:r>
      <w:r w:rsidRPr="00EF7DFB">
        <w:rPr>
          <w:rFonts w:ascii="Times New Roman" w:eastAsia="宋体" w:hAnsi="Times New Roman" w:cs="Times New Roman" w:hint="eastAsia"/>
          <w:szCs w:val="21"/>
        </w:rPr>
        <w:t>目</w:t>
      </w:r>
      <w:r w:rsidRPr="00EF7DFB">
        <w:rPr>
          <w:rFonts w:ascii="Times New Roman" w:eastAsia="宋体" w:hAnsi="Times New Roman" w:cs="Times New Roman"/>
          <w:szCs w:val="21"/>
        </w:rPr>
        <w:t>的包括股权结构调整，投资退出、市值管理、资产流动性管理等；发行可转</w:t>
      </w:r>
      <w:proofErr w:type="gramStart"/>
      <w:r w:rsidRPr="00EF7DFB">
        <w:rPr>
          <w:rFonts w:ascii="Times New Roman" w:eastAsia="宋体" w:hAnsi="Times New Roman" w:cs="Times New Roman"/>
          <w:szCs w:val="21"/>
        </w:rPr>
        <w:t>债用于</w:t>
      </w:r>
      <w:proofErr w:type="gramEnd"/>
      <w:r w:rsidRPr="00EF7DFB">
        <w:rPr>
          <w:rFonts w:ascii="Times New Roman" w:eastAsia="宋体" w:hAnsi="Times New Roman" w:cs="Times New Roman"/>
          <w:szCs w:val="21"/>
        </w:rPr>
        <w:t>特定的投资项目</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所换股份的来源不同。可交换债券是发行人持有的其他公司的股份</w:t>
      </w:r>
      <w:r w:rsidRPr="00EF7DFB">
        <w:rPr>
          <w:rFonts w:ascii="Times New Roman" w:eastAsia="宋体" w:hAnsi="Times New Roman" w:cs="Times New Roman" w:hint="eastAsia"/>
          <w:szCs w:val="21"/>
        </w:rPr>
        <w:t>；</w:t>
      </w:r>
      <w:r w:rsidRPr="00EF7DFB">
        <w:rPr>
          <w:rFonts w:ascii="Times New Roman" w:eastAsia="宋体" w:hAnsi="Times New Roman" w:cs="Times New Roman"/>
          <w:szCs w:val="21"/>
        </w:rPr>
        <w:t>可转换债券是发行人本身未来发行的新股</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两者抵押担保方式相同。都是使用上市公司的股票做质押品</w:t>
      </w:r>
    </w:p>
    <w:p w:rsidR="00EF7DFB" w:rsidRPr="00EF7DFB" w:rsidRDefault="00EF7DFB" w:rsidP="00EF7DFB">
      <w:pPr>
        <w:pStyle w:val="5"/>
      </w:pPr>
      <w:r w:rsidRPr="00EF7DFB">
        <w:rPr>
          <w:rFonts w:hint="eastAsia"/>
        </w:rPr>
        <w:t>多项选择题（共10个小题）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1.</w:t>
      </w:r>
      <w:r w:rsidRPr="00EF7DFB">
        <w:rPr>
          <w:rFonts w:ascii="Times New Roman" w:eastAsia="宋体" w:hAnsi="Times New Roman" w:cs="Times New Roman" w:hint="eastAsia"/>
        </w:rPr>
        <w:t>在短期，我们假定厂商在产品生产过程中（</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A.</w:t>
      </w:r>
      <w:r w:rsidRPr="00EF7DFB">
        <w:rPr>
          <w:rFonts w:ascii="Times New Roman" w:eastAsia="宋体" w:hAnsi="Times New Roman" w:cs="Times New Roman" w:hint="eastAsia"/>
        </w:rPr>
        <w:t>存在技术进步</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w:t>
      </w:r>
      <w:r w:rsidRPr="00EF7DFB">
        <w:rPr>
          <w:rFonts w:ascii="Times New Roman" w:eastAsia="宋体" w:hAnsi="Times New Roman" w:cs="Times New Roman" w:hint="eastAsia"/>
        </w:rPr>
        <w:t>生产技术水平不变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w:t>
      </w:r>
      <w:r w:rsidRPr="00EF7DFB">
        <w:rPr>
          <w:rFonts w:ascii="Times New Roman" w:eastAsia="宋体" w:hAnsi="Times New Roman" w:cs="Times New Roman" w:hint="eastAsia"/>
        </w:rPr>
        <w:t>只有一种要素投入是可变的</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w:t>
      </w:r>
      <w:r w:rsidRPr="00EF7DFB">
        <w:rPr>
          <w:rFonts w:ascii="Times New Roman" w:eastAsia="宋体" w:hAnsi="Times New Roman" w:cs="Times New Roman" w:hint="eastAsia"/>
        </w:rPr>
        <w:t>资本和劳动两种投入是可变的</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2.</w:t>
      </w:r>
      <w:r w:rsidRPr="00EF7DFB">
        <w:rPr>
          <w:rFonts w:ascii="Times New Roman" w:eastAsia="宋体" w:hAnsi="Times New Roman" w:cs="Times New Roman" w:hint="eastAsia"/>
        </w:rPr>
        <w:t>地铁价格上调后，居民对出租车服务的需求（</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A.</w:t>
      </w:r>
      <w:r w:rsidRPr="00EF7DFB">
        <w:rPr>
          <w:rFonts w:ascii="Times New Roman" w:eastAsia="宋体" w:hAnsi="Times New Roman" w:cs="Times New Roman" w:hint="eastAsia"/>
        </w:rPr>
        <w:t>需求增加</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w:t>
      </w:r>
      <w:r w:rsidRPr="00EF7DFB">
        <w:rPr>
          <w:rFonts w:ascii="Times New Roman" w:eastAsia="宋体" w:hAnsi="Times New Roman" w:cs="Times New Roman" w:hint="eastAsia"/>
        </w:rPr>
        <w:t>需求量减少</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w:t>
      </w:r>
      <w:r w:rsidRPr="00EF7DFB">
        <w:rPr>
          <w:rFonts w:ascii="Times New Roman" w:eastAsia="宋体" w:hAnsi="Times New Roman" w:cs="Times New Roman" w:hint="eastAsia"/>
        </w:rPr>
        <w:t>需求曲线右移</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w:t>
      </w:r>
      <w:r w:rsidRPr="00EF7DFB">
        <w:rPr>
          <w:rFonts w:ascii="Times New Roman" w:eastAsia="宋体" w:hAnsi="Times New Roman" w:cs="Times New Roman" w:hint="eastAsia"/>
        </w:rPr>
        <w:t>需求曲线左移</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E.</w:t>
      </w:r>
      <w:r w:rsidRPr="00EF7DFB">
        <w:rPr>
          <w:rFonts w:ascii="Times New Roman" w:eastAsia="宋体" w:hAnsi="Times New Roman" w:cs="Times New Roman" w:hint="eastAsia"/>
        </w:rPr>
        <w:t>无法确定需求变动方向</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3.</w:t>
      </w:r>
      <w:r w:rsidRPr="00EF7DFB">
        <w:rPr>
          <w:rFonts w:ascii="Times New Roman" w:eastAsia="宋体" w:hAnsi="Times New Roman" w:cs="Times New Roman" w:hint="eastAsia"/>
        </w:rPr>
        <w:t>下列情形中，财政政策的挤出效应比较大的有（</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A.IS</w:t>
      </w:r>
      <w:r w:rsidRPr="00EF7DFB">
        <w:rPr>
          <w:rFonts w:ascii="Times New Roman" w:eastAsia="宋体" w:hAnsi="Times New Roman" w:cs="Times New Roman" w:hint="eastAsia"/>
        </w:rPr>
        <w:t>曲线越陡峭</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B.IS</w:t>
      </w:r>
      <w:r w:rsidRPr="00EF7DFB">
        <w:rPr>
          <w:rFonts w:ascii="Times New Roman" w:eastAsia="宋体" w:hAnsi="Times New Roman" w:cs="Times New Roman" w:hint="eastAsia"/>
        </w:rPr>
        <w:t>曲线越平缓</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C.LM</w:t>
      </w:r>
      <w:r w:rsidRPr="00EF7DFB">
        <w:rPr>
          <w:rFonts w:ascii="Times New Roman" w:eastAsia="宋体" w:hAnsi="Times New Roman" w:cs="Times New Roman" w:hint="eastAsia"/>
        </w:rPr>
        <w:t>曲线越陡峭</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D.LM</w:t>
      </w:r>
      <w:r w:rsidRPr="00EF7DFB">
        <w:rPr>
          <w:rFonts w:ascii="Times New Roman" w:eastAsia="宋体" w:hAnsi="Times New Roman" w:cs="Times New Roman" w:hint="eastAsia"/>
        </w:rPr>
        <w:t>曲线越平缓</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4.</w:t>
      </w:r>
      <w:r w:rsidRPr="00EF7DFB">
        <w:rPr>
          <w:rFonts w:ascii="Times New Roman" w:eastAsia="宋体" w:hAnsi="Times New Roman" w:cs="Times New Roman" w:hint="eastAsia"/>
        </w:rPr>
        <w:t>完全竞争行业实现长期均衡时，下列表述正确的有（</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lastRenderedPageBreak/>
        <w:t>A.</w:t>
      </w:r>
      <w:r w:rsidRPr="00EF7DFB">
        <w:rPr>
          <w:rFonts w:ascii="Times New Roman" w:eastAsia="宋体" w:hAnsi="Times New Roman" w:cs="Times New Roman" w:hint="eastAsia"/>
        </w:rPr>
        <w:t>行业中的企业都实现了正利润</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w:t>
      </w:r>
      <w:r w:rsidRPr="00EF7DFB">
        <w:rPr>
          <w:rFonts w:ascii="Times New Roman" w:eastAsia="宋体" w:hAnsi="Times New Roman" w:cs="Times New Roman" w:hint="eastAsia"/>
        </w:rPr>
        <w:t>行业中的企业都实现了正常利润</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w:t>
      </w:r>
      <w:r w:rsidRPr="00EF7DFB">
        <w:rPr>
          <w:rFonts w:ascii="Times New Roman" w:eastAsia="宋体" w:hAnsi="Times New Roman" w:cs="Times New Roman" w:hint="eastAsia"/>
        </w:rPr>
        <w:t>该行业没有新的企业进入</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w:t>
      </w:r>
      <w:r w:rsidRPr="00EF7DFB">
        <w:rPr>
          <w:rFonts w:ascii="Times New Roman" w:eastAsia="宋体" w:hAnsi="Times New Roman" w:cs="Times New Roman" w:hint="eastAsia"/>
        </w:rPr>
        <w:t>该行业中没有任何企业退出</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E.</w:t>
      </w:r>
      <w:r w:rsidRPr="00EF7DFB">
        <w:rPr>
          <w:rFonts w:ascii="Times New Roman" w:eastAsia="宋体" w:hAnsi="Times New Roman" w:cs="Times New Roman" w:hint="eastAsia"/>
        </w:rPr>
        <w:t>行业中的企业均获得超额利润</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5.</w:t>
      </w:r>
      <w:r w:rsidRPr="00EF7DFB">
        <w:rPr>
          <w:rFonts w:ascii="Times New Roman" w:eastAsia="宋体" w:hAnsi="Times New Roman" w:cs="Times New Roman" w:hint="eastAsia"/>
        </w:rPr>
        <w:t>下列关于资本使用成本的表述中，正确的有（</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A.</w:t>
      </w:r>
      <w:r w:rsidRPr="00EF7DFB">
        <w:rPr>
          <w:rFonts w:ascii="Times New Roman" w:eastAsia="宋体" w:hAnsi="Times New Roman" w:cs="Times New Roman" w:hint="eastAsia"/>
        </w:rPr>
        <w:t>与利率成正比</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w:t>
      </w:r>
      <w:r w:rsidRPr="00EF7DFB">
        <w:rPr>
          <w:rFonts w:ascii="Times New Roman" w:eastAsia="宋体" w:hAnsi="Times New Roman" w:cs="Times New Roman" w:hint="eastAsia"/>
        </w:rPr>
        <w:t>与资本价格反比</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w:t>
      </w:r>
      <w:r w:rsidRPr="00EF7DFB">
        <w:rPr>
          <w:rFonts w:ascii="Times New Roman" w:eastAsia="宋体" w:hAnsi="Times New Roman" w:cs="Times New Roman" w:hint="eastAsia"/>
        </w:rPr>
        <w:t>与预期收益率成正比</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w:t>
      </w:r>
      <w:r w:rsidRPr="00EF7DFB">
        <w:rPr>
          <w:rFonts w:ascii="Times New Roman" w:eastAsia="宋体" w:hAnsi="Times New Roman" w:cs="Times New Roman" w:hint="eastAsia"/>
        </w:rPr>
        <w:t>与折旧率正比</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E.</w:t>
      </w:r>
      <w:r w:rsidRPr="00EF7DFB">
        <w:rPr>
          <w:rFonts w:ascii="Times New Roman" w:eastAsia="宋体" w:hAnsi="Times New Roman" w:cs="Times New Roman" w:hint="eastAsia"/>
        </w:rPr>
        <w:t>与折旧率反比</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6.</w:t>
      </w:r>
      <w:r w:rsidRPr="00EF7DFB">
        <w:rPr>
          <w:rFonts w:ascii="Times New Roman" w:eastAsia="宋体" w:hAnsi="Times New Roman" w:cs="Times New Roman" w:hint="eastAsia"/>
        </w:rPr>
        <w:t>下列说法符合凯恩斯消费理论的有（</w:t>
      </w:r>
      <w:r w:rsidRPr="00EF7DFB">
        <w:rPr>
          <w:rFonts w:ascii="Times New Roman" w:eastAsia="宋体" w:hAnsi="Times New Roman" w:cs="Times New Roman" w:hint="eastAsia"/>
        </w:rPr>
        <w:t xml:space="preserve">    </w:t>
      </w:r>
      <w:r w:rsidRPr="00EF7DFB">
        <w:rPr>
          <w:rFonts w:ascii="Times New Roman" w:eastAsia="宋体" w:hAnsi="Times New Roman" w:cs="Times New Roman" w:hint="eastAsia"/>
        </w:rPr>
        <w:t>）。</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A.</w:t>
      </w:r>
      <w:r w:rsidRPr="00EF7DFB">
        <w:rPr>
          <w:rFonts w:ascii="Times New Roman" w:eastAsia="宋体" w:hAnsi="Times New Roman" w:cs="Times New Roman" w:hint="eastAsia"/>
        </w:rPr>
        <w:t>消费取决于当期收入</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B.</w:t>
      </w:r>
      <w:r w:rsidRPr="00EF7DFB">
        <w:rPr>
          <w:rFonts w:ascii="Times New Roman" w:eastAsia="宋体" w:hAnsi="Times New Roman" w:cs="Times New Roman" w:hint="eastAsia"/>
        </w:rPr>
        <w:t>边际消费倾向小于平均消费倾向</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C.</w:t>
      </w:r>
      <w:r w:rsidRPr="00EF7DFB">
        <w:rPr>
          <w:rFonts w:ascii="Times New Roman" w:eastAsia="宋体" w:hAnsi="Times New Roman" w:cs="Times New Roman" w:hint="eastAsia"/>
        </w:rPr>
        <w:t>平均消费倾向递减</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D.</w:t>
      </w:r>
      <w:r w:rsidRPr="00EF7DFB">
        <w:rPr>
          <w:rFonts w:ascii="Times New Roman" w:eastAsia="宋体" w:hAnsi="Times New Roman" w:cs="Times New Roman" w:hint="eastAsia"/>
        </w:rPr>
        <w:t>边际消费倾向递减</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E.</w:t>
      </w:r>
      <w:r w:rsidRPr="00EF7DFB">
        <w:rPr>
          <w:rFonts w:ascii="Times New Roman" w:eastAsia="宋体" w:hAnsi="Times New Roman" w:cs="Times New Roman" w:hint="eastAsia"/>
        </w:rPr>
        <w:t>消费与当期收入无关</w:t>
      </w:r>
    </w:p>
    <w:p w:rsidR="00EF7DFB" w:rsidRPr="00EF7DFB" w:rsidRDefault="00EF7DFB" w:rsidP="00EF7DFB">
      <w:pPr>
        <w:numPr>
          <w:ilvl w:val="0"/>
          <w:numId w:val="7"/>
        </w:num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利率平价理论揭示了汇率之间的紧密联系，该理论表明一国利率上升，则（</w:t>
      </w:r>
      <w:r w:rsidRPr="00EF7DFB">
        <w:rPr>
          <w:rFonts w:ascii="Times New Roman" w:eastAsia="宋体" w:hAnsi="Times New Roman" w:cs="Times New Roman"/>
          <w:color w:val="000000"/>
          <w:szCs w:val="21"/>
        </w:rPr>
        <w:t xml:space="preserve">    </w:t>
      </w:r>
      <w:r w:rsidRPr="00EF7DFB">
        <w:rPr>
          <w:rFonts w:ascii="Times New Roman" w:eastAsia="宋体" w:hAnsi="Times New Roman" w:cs="Times New Roman"/>
          <w:color w:val="000000"/>
          <w:szCs w:val="21"/>
        </w:rPr>
        <w:t>）。</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A.</w:t>
      </w:r>
      <w:r w:rsidRPr="00EF7DFB">
        <w:rPr>
          <w:rFonts w:ascii="Times New Roman" w:eastAsia="宋体" w:hAnsi="Times New Roman" w:cs="Times New Roman"/>
          <w:color w:val="000000"/>
          <w:szCs w:val="21"/>
        </w:rPr>
        <w:t>直接标价法下的该国汇率升水</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B.</w:t>
      </w:r>
      <w:r w:rsidRPr="00EF7DFB">
        <w:rPr>
          <w:rFonts w:ascii="Times New Roman" w:eastAsia="宋体" w:hAnsi="Times New Roman" w:cs="Times New Roman"/>
          <w:color w:val="000000"/>
          <w:szCs w:val="21"/>
        </w:rPr>
        <w:t>间接标价法下的该国汇率贴水</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C.</w:t>
      </w:r>
      <w:r w:rsidRPr="00EF7DFB">
        <w:rPr>
          <w:rFonts w:ascii="Times New Roman" w:eastAsia="宋体" w:hAnsi="Times New Roman" w:cs="Times New Roman"/>
          <w:color w:val="000000"/>
          <w:szCs w:val="21"/>
        </w:rPr>
        <w:t>本国货币短期内升值</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D.</w:t>
      </w:r>
      <w:r w:rsidRPr="00EF7DFB">
        <w:rPr>
          <w:rFonts w:ascii="Times New Roman" w:eastAsia="宋体" w:hAnsi="Times New Roman" w:cs="Times New Roman"/>
          <w:color w:val="000000"/>
          <w:szCs w:val="21"/>
        </w:rPr>
        <w:t>他国货币远期汇率上升</w:t>
      </w:r>
    </w:p>
    <w:p w:rsidR="00EF7DFB" w:rsidRPr="00EF7DFB" w:rsidRDefault="00EF7DFB" w:rsidP="00EF7DFB">
      <w:pPr>
        <w:spacing w:line="360" w:lineRule="auto"/>
        <w:ind w:firstLineChars="200" w:firstLine="420"/>
        <w:rPr>
          <w:rFonts w:ascii="Times New Roman" w:eastAsia="宋体" w:hAnsi="Times New Roman" w:cs="Times New Roman"/>
          <w:color w:val="000000"/>
          <w:szCs w:val="21"/>
        </w:rPr>
      </w:pPr>
      <w:r w:rsidRPr="00EF7DFB">
        <w:rPr>
          <w:rFonts w:ascii="Times New Roman" w:eastAsia="宋体" w:hAnsi="Times New Roman" w:cs="Times New Roman"/>
          <w:color w:val="000000"/>
          <w:szCs w:val="21"/>
        </w:rPr>
        <w:t>E.</w:t>
      </w:r>
      <w:r w:rsidRPr="00EF7DFB">
        <w:rPr>
          <w:rFonts w:ascii="Times New Roman" w:eastAsia="宋体" w:hAnsi="Times New Roman" w:cs="Times New Roman"/>
          <w:color w:val="000000"/>
          <w:szCs w:val="21"/>
        </w:rPr>
        <w:t>他国货币远期升值</w:t>
      </w:r>
    </w:p>
    <w:p w:rsidR="00EF7DFB" w:rsidRPr="00EF7DFB" w:rsidRDefault="00EF7DFB" w:rsidP="00EF7DFB">
      <w:pPr>
        <w:numPr>
          <w:ilvl w:val="0"/>
          <w:numId w:val="7"/>
        </w:num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hint="eastAsia"/>
          <w:kern w:val="0"/>
          <w:szCs w:val="21"/>
        </w:rPr>
        <w:t>衍生金融工具市场是关于金融衍生工具交易的市场，具有传统金融市场无可比拟的优越性，其主要功能包括（</w:t>
      </w:r>
      <w:r w:rsidRPr="00EF7DFB">
        <w:rPr>
          <w:rFonts w:ascii="Times New Roman" w:eastAsia="宋体" w:hAnsi="Times New Roman" w:cs="Times New Roman"/>
          <w:kern w:val="0"/>
          <w:szCs w:val="21"/>
        </w:rPr>
        <w:t xml:space="preserve">    </w:t>
      </w:r>
      <w:r w:rsidRPr="00EF7DFB">
        <w:rPr>
          <w:rFonts w:ascii="Times New Roman" w:eastAsia="宋体" w:hAnsi="Times New Roman" w:cs="Times New Roman" w:hint="eastAsia"/>
          <w:kern w:val="0"/>
          <w:szCs w:val="21"/>
        </w:rPr>
        <w:t>）。</w:t>
      </w:r>
    </w:p>
    <w:p w:rsidR="00EF7DFB" w:rsidRPr="00EF7DFB" w:rsidRDefault="00EF7DFB" w:rsidP="00EF7DFB">
      <w:p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hint="eastAsia"/>
          <w:kern w:val="0"/>
          <w:szCs w:val="21"/>
        </w:rPr>
        <w:t>A.</w:t>
      </w:r>
      <w:r w:rsidRPr="00EF7DFB">
        <w:rPr>
          <w:rFonts w:ascii="Times New Roman" w:eastAsia="宋体" w:hAnsi="Times New Roman" w:cs="Times New Roman" w:hint="eastAsia"/>
          <w:kern w:val="0"/>
          <w:szCs w:val="21"/>
        </w:rPr>
        <w:t>套期保值</w:t>
      </w:r>
    </w:p>
    <w:p w:rsidR="00EF7DFB" w:rsidRPr="00EF7DFB" w:rsidRDefault="00EF7DFB" w:rsidP="00EF7DFB">
      <w:p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hint="eastAsia"/>
          <w:kern w:val="0"/>
          <w:szCs w:val="21"/>
        </w:rPr>
        <w:t>B.</w:t>
      </w:r>
      <w:r w:rsidRPr="00EF7DFB">
        <w:rPr>
          <w:rFonts w:ascii="Times New Roman" w:eastAsia="宋体" w:hAnsi="Times New Roman" w:cs="Times New Roman" w:hint="eastAsia"/>
          <w:kern w:val="0"/>
          <w:szCs w:val="21"/>
        </w:rPr>
        <w:t>价格发现功能</w:t>
      </w:r>
    </w:p>
    <w:p w:rsidR="00EF7DFB" w:rsidRPr="00EF7DFB" w:rsidRDefault="00EF7DFB" w:rsidP="00EF7DFB">
      <w:p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hint="eastAsia"/>
          <w:kern w:val="0"/>
          <w:szCs w:val="21"/>
        </w:rPr>
        <w:t>C.</w:t>
      </w:r>
      <w:r w:rsidRPr="00EF7DFB">
        <w:rPr>
          <w:rFonts w:ascii="Times New Roman" w:eastAsia="宋体" w:hAnsi="Times New Roman" w:cs="Times New Roman" w:hint="eastAsia"/>
          <w:kern w:val="0"/>
          <w:szCs w:val="21"/>
        </w:rPr>
        <w:t>解决信息不对称</w:t>
      </w:r>
    </w:p>
    <w:p w:rsidR="00EF7DFB" w:rsidRPr="00EF7DFB" w:rsidRDefault="00EF7DFB" w:rsidP="00EF7DFB">
      <w:p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hint="eastAsia"/>
          <w:kern w:val="0"/>
          <w:szCs w:val="21"/>
        </w:rPr>
        <w:t>D.</w:t>
      </w:r>
      <w:r w:rsidRPr="00EF7DFB">
        <w:rPr>
          <w:rFonts w:ascii="Times New Roman" w:eastAsia="宋体" w:hAnsi="Times New Roman" w:cs="Times New Roman" w:hint="eastAsia"/>
          <w:kern w:val="0"/>
          <w:szCs w:val="21"/>
        </w:rPr>
        <w:t>宏观调控传导功能</w:t>
      </w:r>
    </w:p>
    <w:p w:rsidR="00EF7DFB" w:rsidRPr="00EF7DFB" w:rsidRDefault="00EF7DFB" w:rsidP="00EF7DFB">
      <w:pPr>
        <w:spacing w:line="360" w:lineRule="auto"/>
        <w:ind w:firstLineChars="200" w:firstLine="420"/>
        <w:rPr>
          <w:rFonts w:ascii="Times New Roman" w:eastAsia="宋体" w:hAnsi="Times New Roman" w:cs="Times New Roman"/>
          <w:kern w:val="0"/>
          <w:szCs w:val="21"/>
        </w:rPr>
      </w:pPr>
      <w:r w:rsidRPr="00EF7DFB">
        <w:rPr>
          <w:rFonts w:ascii="Times New Roman" w:eastAsia="宋体" w:hAnsi="Times New Roman" w:cs="Times New Roman" w:hint="eastAsia"/>
          <w:kern w:val="0"/>
          <w:szCs w:val="21"/>
        </w:rPr>
        <w:t>E.</w:t>
      </w:r>
      <w:r w:rsidRPr="00EF7DFB">
        <w:rPr>
          <w:rFonts w:ascii="Times New Roman" w:eastAsia="宋体" w:hAnsi="Times New Roman" w:cs="Times New Roman" w:hint="eastAsia"/>
          <w:kern w:val="0"/>
          <w:szCs w:val="21"/>
        </w:rPr>
        <w:t>投机套利</w:t>
      </w:r>
    </w:p>
    <w:p w:rsidR="00EF7DFB" w:rsidRPr="00EF7DFB" w:rsidRDefault="00EF7DFB" w:rsidP="00EF7DFB">
      <w:pPr>
        <w:numPr>
          <w:ilvl w:val="0"/>
          <w:numId w:val="7"/>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lastRenderedPageBreak/>
        <w:t>牙买加体系是布雷顿森林体系崩溃之后现行的国际货币制度，关于该制度，下列论述正确的有（</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主权信用货币充当国际货币</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黄金是重要的国际货币</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实际上是变相的美元本位制</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汇率安排多样化</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E.</w:t>
      </w:r>
      <w:r w:rsidRPr="00EF7DFB">
        <w:rPr>
          <w:rFonts w:ascii="Times New Roman" w:eastAsia="宋体" w:hAnsi="Times New Roman" w:cs="Times New Roman"/>
          <w:szCs w:val="21"/>
        </w:rPr>
        <w:t>实行固定汇率制</w:t>
      </w:r>
    </w:p>
    <w:p w:rsidR="00EF7DFB" w:rsidRPr="00EF7DFB" w:rsidRDefault="00EF7DFB" w:rsidP="00EF7DFB">
      <w:pPr>
        <w:numPr>
          <w:ilvl w:val="0"/>
          <w:numId w:val="7"/>
        </w:num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利率期限结构理论</w:t>
      </w:r>
      <w:r w:rsidRPr="00EF7DFB">
        <w:rPr>
          <w:rFonts w:ascii="Times New Roman" w:eastAsia="宋体" w:hAnsi="Times New Roman" w:cs="Times New Roman" w:hint="eastAsia"/>
          <w:szCs w:val="21"/>
        </w:rPr>
        <w:t>试图</w:t>
      </w:r>
      <w:r w:rsidRPr="00EF7DFB">
        <w:rPr>
          <w:rFonts w:ascii="Times New Roman" w:eastAsia="宋体" w:hAnsi="Times New Roman" w:cs="Times New Roman"/>
          <w:szCs w:val="21"/>
        </w:rPr>
        <w:t>解释具有不同期限的同类型债券的收益变动关系，以下有关该理论的表述中，正确的有（</w:t>
      </w:r>
      <w:r w:rsidRPr="00EF7DFB">
        <w:rPr>
          <w:rFonts w:ascii="Times New Roman" w:eastAsia="宋体" w:hAnsi="Times New Roman" w:cs="Times New Roman"/>
          <w:szCs w:val="21"/>
        </w:rPr>
        <w:t xml:space="preserve">    </w:t>
      </w:r>
      <w:r w:rsidRPr="00EF7DFB">
        <w:rPr>
          <w:rFonts w:ascii="Times New Roman" w:eastAsia="宋体" w:hAnsi="Times New Roman" w:cs="Times New Roman"/>
          <w:szCs w:val="21"/>
        </w:rPr>
        <w:t>）。</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A.</w:t>
      </w:r>
      <w:r w:rsidRPr="00EF7DFB">
        <w:rPr>
          <w:rFonts w:ascii="Times New Roman" w:eastAsia="宋体" w:hAnsi="Times New Roman" w:cs="Times New Roman"/>
          <w:szCs w:val="21"/>
        </w:rPr>
        <w:t>预期理论可以</w:t>
      </w:r>
      <w:r w:rsidRPr="00EF7DFB">
        <w:rPr>
          <w:rFonts w:ascii="Times New Roman" w:eastAsia="宋体" w:hAnsi="Times New Roman" w:cs="Times New Roman" w:hint="eastAsia"/>
          <w:szCs w:val="21"/>
        </w:rPr>
        <w:t>解释</w:t>
      </w:r>
      <w:r w:rsidRPr="00EF7DFB">
        <w:rPr>
          <w:rFonts w:ascii="Times New Roman" w:eastAsia="宋体" w:hAnsi="Times New Roman" w:cs="Times New Roman"/>
          <w:szCs w:val="21"/>
        </w:rPr>
        <w:t>收益率曲线一般向上倾斜</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B.</w:t>
      </w:r>
      <w:r w:rsidRPr="00EF7DFB">
        <w:rPr>
          <w:rFonts w:ascii="Times New Roman" w:eastAsia="宋体" w:hAnsi="Times New Roman" w:cs="Times New Roman"/>
          <w:szCs w:val="21"/>
        </w:rPr>
        <w:t>市场分割理论主要解释收益</w:t>
      </w:r>
      <w:r w:rsidRPr="00EF7DFB">
        <w:rPr>
          <w:rFonts w:ascii="Times New Roman" w:eastAsia="宋体" w:hAnsi="Times New Roman" w:cs="Times New Roman" w:hint="eastAsia"/>
          <w:szCs w:val="21"/>
        </w:rPr>
        <w:t>率</w:t>
      </w:r>
      <w:r w:rsidRPr="00EF7DFB">
        <w:rPr>
          <w:rFonts w:ascii="Times New Roman" w:eastAsia="宋体" w:hAnsi="Times New Roman" w:cs="Times New Roman"/>
          <w:szCs w:val="21"/>
        </w:rPr>
        <w:t>曲线的同向波动特征</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C.</w:t>
      </w:r>
      <w:r w:rsidRPr="00EF7DFB">
        <w:rPr>
          <w:rFonts w:ascii="Times New Roman" w:eastAsia="宋体" w:hAnsi="Times New Roman" w:cs="Times New Roman"/>
          <w:szCs w:val="21"/>
        </w:rPr>
        <w:t>预期理论和市场分割理论的主要不同之处在于它们对不同期限债券的可替代性有</w:t>
      </w:r>
      <w:r w:rsidRPr="00EF7DFB">
        <w:rPr>
          <w:rFonts w:ascii="Times New Roman" w:eastAsia="宋体" w:hAnsi="Times New Roman" w:cs="Times New Roman" w:hint="eastAsia"/>
          <w:szCs w:val="21"/>
        </w:rPr>
        <w:t>着截</w:t>
      </w:r>
      <w:r w:rsidRPr="00EF7DFB">
        <w:rPr>
          <w:rFonts w:ascii="Times New Roman" w:eastAsia="宋体" w:hAnsi="Times New Roman" w:cs="Times New Roman"/>
          <w:szCs w:val="21"/>
        </w:rPr>
        <w:t>然不同的假设</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D.</w:t>
      </w:r>
      <w:r w:rsidRPr="00EF7DFB">
        <w:rPr>
          <w:rFonts w:ascii="Times New Roman" w:eastAsia="宋体" w:hAnsi="Times New Roman" w:cs="Times New Roman"/>
          <w:szCs w:val="21"/>
        </w:rPr>
        <w:t>流动性溢价和期限选择理论综合了预期理论和市场分割理论，能很好</w:t>
      </w:r>
      <w:r w:rsidRPr="00EF7DFB">
        <w:rPr>
          <w:rFonts w:ascii="Times New Roman" w:eastAsia="宋体" w:hAnsi="Times New Roman" w:cs="Times New Roman" w:hint="eastAsia"/>
          <w:szCs w:val="21"/>
        </w:rPr>
        <w:t>地</w:t>
      </w:r>
      <w:r w:rsidRPr="00EF7DFB">
        <w:rPr>
          <w:rFonts w:ascii="Times New Roman" w:eastAsia="宋体" w:hAnsi="Times New Roman" w:cs="Times New Roman"/>
          <w:szCs w:val="21"/>
        </w:rPr>
        <w:t>解释收益率曲线的三个典型特征</w:t>
      </w:r>
    </w:p>
    <w:p w:rsidR="00EF7DFB" w:rsidRPr="00EF7DFB" w:rsidRDefault="00EF7DFB" w:rsidP="00EF7DFB">
      <w:pPr>
        <w:spacing w:line="360" w:lineRule="auto"/>
        <w:ind w:firstLineChars="200" w:firstLine="420"/>
        <w:rPr>
          <w:rFonts w:ascii="Times New Roman" w:eastAsia="宋体" w:hAnsi="Times New Roman" w:cs="Times New Roman"/>
          <w:szCs w:val="21"/>
        </w:rPr>
      </w:pPr>
      <w:r w:rsidRPr="00EF7DFB">
        <w:rPr>
          <w:rFonts w:ascii="Times New Roman" w:eastAsia="宋体" w:hAnsi="Times New Roman" w:cs="Times New Roman"/>
          <w:szCs w:val="21"/>
        </w:rPr>
        <w:t>E.</w:t>
      </w:r>
      <w:r w:rsidRPr="00EF7DFB">
        <w:rPr>
          <w:rFonts w:ascii="Times New Roman" w:eastAsia="宋体" w:hAnsi="Times New Roman" w:cs="Times New Roman"/>
          <w:szCs w:val="21"/>
        </w:rPr>
        <w:t>收益率曲线向下倾斜往往意味着公众对未来经济的预期较为悲观</w:t>
      </w:r>
    </w:p>
    <w:p w:rsidR="00EF7DFB" w:rsidRPr="00EF7DFB" w:rsidRDefault="00EF7DFB" w:rsidP="00EF7DFB">
      <w:pPr>
        <w:pStyle w:val="5"/>
      </w:pPr>
      <w:r w:rsidRPr="00EF7DFB">
        <w:rPr>
          <w:rFonts w:hint="eastAsia"/>
        </w:rPr>
        <w:t>计算题（共1题）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1.</w:t>
      </w:r>
      <w:r w:rsidRPr="00EF7DFB">
        <w:rPr>
          <w:rFonts w:ascii="Times New Roman" w:eastAsia="宋体" w:hAnsi="Times New Roman" w:cs="Times New Roman"/>
        </w:rPr>
        <w:t>对维生素的需求为</w:t>
      </w:r>
      <w:r w:rsidRPr="00EF7DFB">
        <w:rPr>
          <w:rFonts w:ascii="Times New Roman" w:eastAsia="宋体" w:hAnsi="Times New Roman" w:cs="Times New Roman"/>
        </w:rPr>
        <w:t>Q=100-</w:t>
      </w:r>
      <w:r w:rsidRPr="00EF7DFB">
        <w:rPr>
          <w:rFonts w:ascii="Times New Roman" w:eastAsia="宋体" w:hAnsi="Times New Roman" w:cs="Times New Roman" w:hint="eastAsia"/>
        </w:rPr>
        <w:t>P</w:t>
      </w:r>
      <w:r w:rsidRPr="00EF7DFB">
        <w:rPr>
          <w:rFonts w:ascii="Times New Roman" w:eastAsia="宋体" w:hAnsi="Times New Roman" w:cs="Times New Roman"/>
        </w:rPr>
        <w:t>，</w:t>
      </w:r>
      <w:r w:rsidRPr="00EF7DFB">
        <w:rPr>
          <w:rFonts w:ascii="Times New Roman" w:eastAsia="宋体" w:hAnsi="Times New Roman" w:cs="Times New Roman"/>
        </w:rPr>
        <w:t>Q</w:t>
      </w:r>
      <w:r w:rsidRPr="00EF7DFB">
        <w:rPr>
          <w:rFonts w:ascii="Times New Roman" w:eastAsia="宋体" w:hAnsi="Times New Roman" w:cs="Times New Roman"/>
        </w:rPr>
        <w:t>为以吨计量的维生素需求量，</w:t>
      </w:r>
      <w:r w:rsidRPr="00EF7DFB">
        <w:rPr>
          <w:rFonts w:ascii="Times New Roman" w:eastAsia="宋体" w:hAnsi="Times New Roman" w:cs="Times New Roman"/>
        </w:rPr>
        <w:t>P</w:t>
      </w:r>
      <w:r w:rsidRPr="00EF7DFB">
        <w:rPr>
          <w:rFonts w:ascii="Times New Roman" w:eastAsia="宋体" w:hAnsi="Times New Roman" w:cs="Times New Roman"/>
        </w:rPr>
        <w:t>为对应的单位价格，有两家维生素生产商，分别为</w:t>
      </w:r>
      <w:r w:rsidRPr="00EF7DFB">
        <w:rPr>
          <w:rFonts w:ascii="Times New Roman" w:eastAsia="宋体" w:hAnsi="Times New Roman" w:cs="Times New Roman"/>
        </w:rPr>
        <w:t>J</w:t>
      </w:r>
      <w:r w:rsidRPr="00EF7DFB">
        <w:rPr>
          <w:rFonts w:ascii="Times New Roman" w:eastAsia="宋体" w:hAnsi="Times New Roman" w:cs="Times New Roman"/>
        </w:rPr>
        <w:t>厂商和</w:t>
      </w:r>
      <w:r w:rsidRPr="00EF7DFB">
        <w:rPr>
          <w:rFonts w:ascii="Times New Roman" w:eastAsia="宋体" w:hAnsi="Times New Roman" w:cs="Times New Roman"/>
        </w:rPr>
        <w:t>E</w:t>
      </w:r>
      <w:r w:rsidRPr="00EF7DFB">
        <w:rPr>
          <w:rFonts w:ascii="Times New Roman" w:eastAsia="宋体" w:hAnsi="Times New Roman" w:cs="Times New Roman"/>
        </w:rPr>
        <w:t>厂商，他们有相同的成本函数：</w:t>
      </w:r>
    </w:p>
    <w:p w:rsidR="00EF7DFB" w:rsidRPr="00EF7DFB" w:rsidRDefault="00EF7DFB" w:rsidP="00EF7DFB">
      <w:pPr>
        <w:spacing w:line="360" w:lineRule="auto"/>
        <w:ind w:firstLineChars="200" w:firstLine="420"/>
        <w:jc w:val="center"/>
        <w:rPr>
          <w:rFonts w:ascii="Times New Roman" w:eastAsia="宋体" w:hAnsi="Times New Roman" w:cs="Times New Roman"/>
          <w:vertAlign w:val="superscript"/>
        </w:rPr>
      </w:pPr>
      <w:r w:rsidRPr="00EF7DFB">
        <w:rPr>
          <w:rFonts w:ascii="Times New Roman" w:eastAsia="宋体" w:hAnsi="Times New Roman" w:cs="Times New Roman"/>
        </w:rPr>
        <w:t>C=10Q+0.5Q</w:t>
      </w:r>
      <w:r w:rsidRPr="00EF7DFB">
        <w:rPr>
          <w:rFonts w:ascii="Times New Roman" w:eastAsia="宋体" w:hAnsi="Times New Roman" w:cs="Times New Roman"/>
          <w:vertAlign w:val="superscript"/>
        </w:rPr>
        <w:t>2</w:t>
      </w:r>
    </w:p>
    <w:p w:rsidR="00EF7DFB" w:rsidRPr="00EF7DFB" w:rsidRDefault="00EF7DFB" w:rsidP="00EF7DFB">
      <w:pPr>
        <w:spacing w:line="360" w:lineRule="auto"/>
        <w:ind w:firstLineChars="200" w:firstLine="420"/>
        <w:jc w:val="center"/>
        <w:rPr>
          <w:rFonts w:ascii="Times New Roman" w:eastAsia="宋体" w:hAnsi="Times New Roman" w:cs="Times New Roman"/>
          <w:vertAlign w:val="subscript"/>
        </w:rPr>
      </w:pPr>
      <w:r w:rsidRPr="00EF7DFB">
        <w:rPr>
          <w:rFonts w:ascii="Times New Roman" w:eastAsia="宋体" w:hAnsi="Times New Roman" w:cs="Times New Roman"/>
        </w:rPr>
        <w:t>Q=Q</w:t>
      </w:r>
      <w:r w:rsidRPr="00EF7DFB">
        <w:rPr>
          <w:rFonts w:ascii="Times New Roman" w:eastAsia="宋体" w:hAnsi="Times New Roman" w:cs="Times New Roman"/>
          <w:vertAlign w:val="subscript"/>
        </w:rPr>
        <w:t>J</w:t>
      </w:r>
      <w:r w:rsidRPr="00EF7DFB">
        <w:rPr>
          <w:rFonts w:ascii="Times New Roman" w:eastAsia="宋体" w:hAnsi="Times New Roman" w:cs="Times New Roman"/>
        </w:rPr>
        <w:t>+Q</w:t>
      </w:r>
      <w:r w:rsidRPr="00EF7DFB">
        <w:rPr>
          <w:rFonts w:ascii="Times New Roman" w:eastAsia="宋体" w:hAnsi="Times New Roman" w:cs="Times New Roman"/>
          <w:vertAlign w:val="subscript"/>
        </w:rPr>
        <w:t>E</w:t>
      </w:r>
    </w:p>
    <w:p w:rsidR="00EF7DFB" w:rsidRPr="00EF7DFB" w:rsidRDefault="00EF7DFB" w:rsidP="00EF7DFB">
      <w:pPr>
        <w:numPr>
          <w:ilvl w:val="0"/>
          <w:numId w:val="5"/>
        </w:num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当两家厂商像短期完全竞争者一样行动时，均衡时的市场价格和两家厂商的产量分别为多少？各厂商的利润为多少？</w:t>
      </w:r>
    </w:p>
    <w:p w:rsidR="00EF7DFB" w:rsidRPr="00EF7DFB" w:rsidRDefault="00EF7DFB" w:rsidP="00EF7DFB">
      <w:pPr>
        <w:numPr>
          <w:ilvl w:val="0"/>
          <w:numId w:val="5"/>
        </w:num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两家厂商均认识了自身在维生素行业的寡头垄断的地位，并决定采取</w:t>
      </w:r>
      <w:proofErr w:type="gramStart"/>
      <w:r w:rsidRPr="00EF7DFB">
        <w:rPr>
          <w:rFonts w:ascii="Times New Roman" w:eastAsia="宋体" w:hAnsi="Times New Roman" w:cs="Times New Roman"/>
        </w:rPr>
        <w:t>古诺竞争</w:t>
      </w:r>
      <w:proofErr w:type="gramEnd"/>
      <w:r w:rsidRPr="00EF7DFB">
        <w:rPr>
          <w:rFonts w:ascii="Times New Roman" w:eastAsia="宋体" w:hAnsi="Times New Roman" w:cs="Times New Roman"/>
        </w:rPr>
        <w:t>策略，此时市场价格和两家厂商的产量分别为多少？各厂商的利润为多少？</w:t>
      </w:r>
    </w:p>
    <w:p w:rsidR="00EF7DFB" w:rsidRPr="00EF7DFB" w:rsidRDefault="00EF7DFB" w:rsidP="00EF7DFB">
      <w:pPr>
        <w:numPr>
          <w:ilvl w:val="0"/>
          <w:numId w:val="5"/>
        </w:num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rPr>
        <w:t>两家厂商的总经理在一次</w:t>
      </w:r>
      <w:proofErr w:type="gramStart"/>
      <w:r w:rsidRPr="00EF7DFB">
        <w:rPr>
          <w:rFonts w:ascii="Times New Roman" w:eastAsia="宋体" w:hAnsi="Times New Roman" w:cs="Times New Roman"/>
        </w:rPr>
        <w:t>微信聊天</w:t>
      </w:r>
      <w:proofErr w:type="gramEnd"/>
      <w:r w:rsidRPr="00EF7DFB">
        <w:rPr>
          <w:rFonts w:ascii="Times New Roman" w:eastAsia="宋体" w:hAnsi="Times New Roman" w:cs="Times New Roman"/>
        </w:rPr>
        <w:t>中达成了共谋，此时市场价格和两家厂商的产量分别为多少？</w:t>
      </w:r>
      <w:r w:rsidRPr="00EF7DFB">
        <w:rPr>
          <w:rFonts w:ascii="Times New Roman" w:eastAsia="宋体" w:hAnsi="Times New Roman" w:cs="Times New Roman" w:hint="eastAsia"/>
        </w:rPr>
        <w:t>各</w:t>
      </w:r>
      <w:r w:rsidRPr="00EF7DFB">
        <w:rPr>
          <w:rFonts w:ascii="Times New Roman" w:eastAsia="宋体" w:hAnsi="Times New Roman" w:cs="Times New Roman"/>
        </w:rPr>
        <w:t>厂商的利润为多少？</w:t>
      </w:r>
    </w:p>
    <w:p w:rsidR="00EF7DFB" w:rsidRPr="00EF7DFB" w:rsidRDefault="00EF7DFB" w:rsidP="00EF7DFB">
      <w:pPr>
        <w:pStyle w:val="5"/>
      </w:pPr>
      <w:r w:rsidRPr="00EF7DFB">
        <w:rPr>
          <w:rFonts w:hint="eastAsia"/>
        </w:rPr>
        <w:t>论述题（共1题）</w:t>
      </w:r>
    </w:p>
    <w:p w:rsidR="00EF7DFB" w:rsidRPr="00EF7DFB" w:rsidRDefault="00EF7DFB" w:rsidP="00EF7DFB">
      <w:pPr>
        <w:spacing w:line="360" w:lineRule="auto"/>
        <w:ind w:firstLineChars="200" w:firstLine="420"/>
        <w:rPr>
          <w:rFonts w:ascii="Times New Roman" w:eastAsia="宋体" w:hAnsi="Times New Roman" w:cs="Times New Roman"/>
        </w:rPr>
      </w:pPr>
      <w:r w:rsidRPr="00EF7DFB">
        <w:rPr>
          <w:rFonts w:ascii="Times New Roman" w:eastAsia="宋体" w:hAnsi="Times New Roman" w:cs="Times New Roman" w:hint="eastAsia"/>
        </w:rPr>
        <w:t>1.</w:t>
      </w:r>
      <w:r w:rsidRPr="00EF7DFB">
        <w:rPr>
          <w:rFonts w:ascii="Times New Roman" w:eastAsia="宋体" w:hAnsi="Times New Roman" w:cs="Times New Roman"/>
        </w:rPr>
        <w:t>请结合影响汇率波动的主要因素，分析</w:t>
      </w:r>
      <w:r w:rsidRPr="00EF7DFB">
        <w:rPr>
          <w:rFonts w:ascii="Times New Roman" w:eastAsia="宋体" w:hAnsi="Times New Roman" w:cs="Times New Roman"/>
        </w:rPr>
        <w:t>2015</w:t>
      </w:r>
      <w:r w:rsidRPr="00EF7DFB">
        <w:rPr>
          <w:rFonts w:ascii="Times New Roman" w:eastAsia="宋体" w:hAnsi="Times New Roman" w:cs="Times New Roman"/>
        </w:rPr>
        <w:t>年</w:t>
      </w:r>
      <w:r w:rsidRPr="00EF7DFB">
        <w:rPr>
          <w:rFonts w:ascii="Times New Roman" w:eastAsia="宋体" w:hAnsi="Times New Roman" w:cs="Times New Roman" w:hint="eastAsia"/>
        </w:rPr>
        <w:t>“</w:t>
      </w:r>
      <w:r w:rsidRPr="00EF7DFB">
        <w:rPr>
          <w:rFonts w:ascii="Times New Roman" w:eastAsia="宋体" w:hAnsi="Times New Roman" w:cs="Times New Roman" w:hint="eastAsia"/>
        </w:rPr>
        <w:t>811</w:t>
      </w:r>
      <w:r w:rsidRPr="00EF7DFB">
        <w:rPr>
          <w:rFonts w:ascii="Times New Roman" w:eastAsia="宋体" w:hAnsi="Times New Roman" w:cs="Times New Roman" w:hint="eastAsia"/>
        </w:rPr>
        <w:t>汇改”</w:t>
      </w:r>
      <w:r w:rsidRPr="00EF7DFB">
        <w:rPr>
          <w:rFonts w:ascii="Times New Roman" w:eastAsia="宋体" w:hAnsi="Times New Roman" w:cs="Times New Roman"/>
        </w:rPr>
        <w:t>后人民币汇率波动变化及主要原因，对未来一段时期人民币汇率走势做出总体判断，并提出相关政策建议。</w:t>
      </w:r>
    </w:p>
    <w:p w:rsidR="00A4026B" w:rsidRPr="00EF7DFB" w:rsidRDefault="00A4026B" w:rsidP="00BA7405">
      <w:pPr>
        <w:rPr>
          <w:rFonts w:ascii="Times New Roman" w:eastAsia="宋体" w:hAnsi="Times New Roman"/>
        </w:rPr>
      </w:pPr>
    </w:p>
    <w:sectPr w:rsidR="00A4026B" w:rsidRPr="00EF7DFB" w:rsidSect="002100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96" w:rsidRDefault="00B07096" w:rsidP="002100C9">
      <w:r>
        <w:separator/>
      </w:r>
    </w:p>
  </w:endnote>
  <w:endnote w:type="continuationSeparator" w:id="0">
    <w:p w:rsidR="00B07096" w:rsidRDefault="00B07096" w:rsidP="0021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EF7DFB">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EF7DFB">
              <w:rPr>
                <w:bCs/>
                <w:noProof/>
              </w:rPr>
              <w:t>10</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96" w:rsidRDefault="00B07096" w:rsidP="002100C9">
      <w:r>
        <w:separator/>
      </w:r>
    </w:p>
  </w:footnote>
  <w:footnote w:type="continuationSeparator" w:id="0">
    <w:p w:rsidR="00B07096" w:rsidRDefault="00B07096" w:rsidP="0021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FB" w:rsidRPr="00E40B0E" w:rsidRDefault="00EF7DFB" w:rsidP="00EF7DFB">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2100C9" w:rsidRDefault="002100C9" w:rsidP="00EF7D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FE5021"/>
    <w:multiLevelType w:val="multilevel"/>
    <w:tmpl w:val="E75EA80A"/>
    <w:lvl w:ilvl="0">
      <w:start w:val="7"/>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351513E7"/>
    <w:multiLevelType w:val="multilevel"/>
    <w:tmpl w:val="351513E7"/>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A51633"/>
    <w:multiLevelType w:val="multilevel"/>
    <w:tmpl w:val="1DACADE6"/>
    <w:lvl w:ilvl="0">
      <w:start w:val="17"/>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5A191C63"/>
    <w:multiLevelType w:val="singleLevel"/>
    <w:tmpl w:val="5A191C63"/>
    <w:lvl w:ilvl="0">
      <w:start w:val="1"/>
      <w:numFmt w:val="decimal"/>
      <w:suff w:val="nothing"/>
      <w:lvlText w:val="（%1）"/>
      <w:lvlJc w:val="left"/>
    </w:lvl>
  </w:abstractNum>
  <w:abstractNum w:abstractNumId="5">
    <w:nsid w:val="5E470C58"/>
    <w:multiLevelType w:val="hybridMultilevel"/>
    <w:tmpl w:val="BC300D2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FB"/>
    <w:rsid w:val="000A1405"/>
    <w:rsid w:val="000E73D3"/>
    <w:rsid w:val="00125977"/>
    <w:rsid w:val="0013531E"/>
    <w:rsid w:val="002100C9"/>
    <w:rsid w:val="002B3170"/>
    <w:rsid w:val="00330095"/>
    <w:rsid w:val="00533D95"/>
    <w:rsid w:val="005E1E44"/>
    <w:rsid w:val="007725E4"/>
    <w:rsid w:val="00885523"/>
    <w:rsid w:val="00905563"/>
    <w:rsid w:val="009C1CFD"/>
    <w:rsid w:val="009F36C7"/>
    <w:rsid w:val="00A4026B"/>
    <w:rsid w:val="00B07096"/>
    <w:rsid w:val="00B07546"/>
    <w:rsid w:val="00B12852"/>
    <w:rsid w:val="00B325C6"/>
    <w:rsid w:val="00B96BC4"/>
    <w:rsid w:val="00BA7405"/>
    <w:rsid w:val="00BB5649"/>
    <w:rsid w:val="00BB7482"/>
    <w:rsid w:val="00D77631"/>
    <w:rsid w:val="00D81712"/>
    <w:rsid w:val="00E11770"/>
    <w:rsid w:val="00E56F5D"/>
    <w:rsid w:val="00EA1115"/>
    <w:rsid w:val="00EF7DFB"/>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FB"/>
    <w:pPr>
      <w:widowControl w:val="0"/>
      <w:spacing w:after="0" w:line="240" w:lineRule="auto"/>
      <w:jc w:val="both"/>
    </w:pPr>
    <w:rPr>
      <w:kern w:val="2"/>
      <w:sz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i/>
      <w:iCs/>
      <w:color w:val="000000"/>
      <w:sz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paragraph" w:styleId="af2">
    <w:name w:val="Balloon Text"/>
    <w:basedOn w:val="a"/>
    <w:link w:val="Char5"/>
    <w:uiPriority w:val="99"/>
    <w:semiHidden/>
    <w:unhideWhenUsed/>
    <w:rsid w:val="00EF7DFB"/>
    <w:rPr>
      <w:sz w:val="18"/>
      <w:szCs w:val="18"/>
    </w:rPr>
  </w:style>
  <w:style w:type="character" w:customStyle="1" w:styleId="Char5">
    <w:name w:val="批注框文本 Char"/>
    <w:basedOn w:val="a0"/>
    <w:link w:val="af2"/>
    <w:uiPriority w:val="99"/>
    <w:semiHidden/>
    <w:rsid w:val="00EF7D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FB"/>
    <w:pPr>
      <w:widowControl w:val="0"/>
      <w:spacing w:after="0" w:line="240" w:lineRule="auto"/>
      <w:jc w:val="both"/>
    </w:pPr>
    <w:rPr>
      <w:kern w:val="2"/>
      <w:sz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i/>
      <w:iCs/>
      <w:color w:val="000000"/>
      <w:sz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paragraph" w:styleId="af2">
    <w:name w:val="Balloon Text"/>
    <w:basedOn w:val="a"/>
    <w:link w:val="Char5"/>
    <w:uiPriority w:val="99"/>
    <w:semiHidden/>
    <w:unhideWhenUsed/>
    <w:rsid w:val="00EF7DFB"/>
    <w:rPr>
      <w:sz w:val="18"/>
      <w:szCs w:val="18"/>
    </w:rPr>
  </w:style>
  <w:style w:type="character" w:customStyle="1" w:styleId="Char5">
    <w:name w:val="批注框文本 Char"/>
    <w:basedOn w:val="a0"/>
    <w:link w:val="af2"/>
    <w:uiPriority w:val="99"/>
    <w:semiHidden/>
    <w:rsid w:val="00EF7D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TotalTime>
  <Pages>10</Pages>
  <Words>823</Words>
  <Characters>4695</Characters>
  <Application>Microsoft Office Word</Application>
  <DocSecurity>0</DocSecurity>
  <Lines>39</Lines>
  <Paragraphs>11</Paragraphs>
  <ScaleCrop>false</ScaleCrop>
  <Company>Microsoft</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2019-09-19T05:50:00Z</dcterms:created>
  <dcterms:modified xsi:type="dcterms:W3CDTF">2019-09-19T05:54:00Z</dcterms:modified>
</cp:coreProperties>
</file>