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ascii="方正小标宋简体" w:hAnsi="宋体" w:eastAsia="方正小标宋简体"/>
          <w:b/>
          <w:sz w:val="44"/>
          <w:szCs w:val="44"/>
        </w:rPr>
        <w:t>2019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年玉林市政府专职消防队公开招聘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工作人员体能测试实施规则</w:t>
      </w:r>
    </w:p>
    <w:p>
      <w:pPr>
        <w:spacing w:line="560" w:lineRule="exact"/>
        <w:jc w:val="left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黑体" w:hAnsi="宋体" w:eastAsia="黑体" w:cs="宋体"/>
          <w:b/>
          <w:color w:val="333333"/>
          <w:sz w:val="32"/>
          <w:szCs w:val="32"/>
          <w:highlight w:val="white"/>
        </w:rPr>
      </w:pPr>
      <w:r>
        <w:rPr>
          <w:rFonts w:hint="eastAsia" w:ascii="黑体" w:hAnsi="宋体" w:eastAsia="黑体" w:cs="宋体"/>
          <w:b/>
          <w:color w:val="333333"/>
          <w:sz w:val="32"/>
          <w:szCs w:val="32"/>
          <w:highlight w:val="white"/>
        </w:rPr>
        <w:t>一、</w:t>
      </w:r>
      <w:r>
        <w:rPr>
          <w:rFonts w:ascii="黑体" w:hAnsi="微软雅黑" w:eastAsia="黑体"/>
          <w:b/>
          <w:color w:val="333333"/>
          <w:sz w:val="32"/>
          <w:szCs w:val="32"/>
          <w:highlight w:val="white"/>
        </w:rPr>
        <w:t>3000</w:t>
      </w:r>
      <w:r>
        <w:rPr>
          <w:rFonts w:hint="eastAsia" w:ascii="黑体" w:hAnsi="宋体" w:eastAsia="黑体" w:cs="宋体"/>
          <w:b/>
          <w:color w:val="333333"/>
          <w:sz w:val="32"/>
          <w:szCs w:val="32"/>
          <w:highlight w:val="white"/>
        </w:rPr>
        <w:t>米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场地器材</w:t>
      </w:r>
      <w:r>
        <w:rPr>
          <w:rFonts w:hint="eastAsia" w:ascii="楷体_GB2312" w:hAnsi="宋体" w:eastAsia="楷体_GB2312" w:cs="宋体"/>
          <w:b/>
          <w:sz w:val="32"/>
          <w:szCs w:val="32"/>
          <w:highlight w:val="white"/>
        </w:rPr>
        <w:t>：</w:t>
      </w:r>
      <w:r>
        <w:rPr>
          <w:rFonts w:ascii="仿宋_GB2312" w:hAnsi="微软雅黑" w:eastAsia="仿宋_GB2312"/>
          <w:sz w:val="32"/>
          <w:szCs w:val="32"/>
          <w:highlight w:val="white"/>
        </w:rPr>
        <w:t>400</w:t>
      </w:r>
      <w:r>
        <w:rPr>
          <w:rFonts w:hint="eastAsia" w:ascii="仿宋_GB2312" w:hAnsi="宋体" w:eastAsia="仿宋_GB2312" w:cs="宋体"/>
          <w:sz w:val="32"/>
          <w:szCs w:val="32"/>
          <w:highlight w:val="white"/>
        </w:rPr>
        <w:t>米田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径跑道。地面平坦，地质不限，秒表若干块，使用前应进行校正。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受测者分组测，每组人员在起点线一侧站成一排。当听到“预备”口令时，做好起跑准备，听到“跑”口令时，开始起跑。计时成绩从发令“跑”至身体有效部位越终点线为止。终点成绩记录员负责登记每人成绩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，考生核对成绩无异议后签名确认。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　　</w:t>
      </w:r>
    </w:p>
    <w:p>
      <w:pPr>
        <w:spacing w:line="560" w:lineRule="exact"/>
        <w:ind w:firstLine="643" w:firstLineChars="200"/>
        <w:jc w:val="left"/>
        <w:rPr>
          <w:rFonts w:ascii="黑体" w:hAnsi="微软雅黑" w:eastAsia="黑体"/>
          <w:b/>
          <w:color w:val="333333"/>
          <w:sz w:val="32"/>
          <w:szCs w:val="32"/>
          <w:highlight w:val="white"/>
        </w:rPr>
      </w:pPr>
      <w:r>
        <w:rPr>
          <w:rFonts w:hint="eastAsia" w:ascii="黑体" w:hAnsi="微软雅黑" w:eastAsia="黑体"/>
          <w:b/>
          <w:color w:val="333333"/>
          <w:sz w:val="32"/>
          <w:szCs w:val="32"/>
          <w:highlight w:val="white"/>
        </w:rPr>
        <w:t>二、</w:t>
      </w:r>
      <w:r>
        <w:rPr>
          <w:rFonts w:ascii="黑体" w:hAnsi="微软雅黑" w:eastAsia="黑体"/>
          <w:b/>
          <w:color w:val="333333"/>
          <w:sz w:val="32"/>
          <w:szCs w:val="32"/>
          <w:highlight w:val="white"/>
        </w:rPr>
        <w:t>5x10</w:t>
      </w:r>
      <w:r>
        <w:rPr>
          <w:rFonts w:hint="eastAsia" w:ascii="黑体" w:hAnsi="微软雅黑" w:eastAsia="黑体"/>
          <w:b/>
          <w:color w:val="333333"/>
          <w:sz w:val="32"/>
          <w:szCs w:val="32"/>
          <w:highlight w:val="white"/>
        </w:rPr>
        <w:t>米折返</w:t>
      </w:r>
      <w:bookmarkStart w:id="0" w:name="_GoBack"/>
      <w:bookmarkEnd w:id="0"/>
    </w:p>
    <w:p>
      <w:pPr>
        <w:spacing w:line="560" w:lineRule="exact"/>
        <w:ind w:firstLine="643" w:firstLineChars="200"/>
        <w:jc w:val="lef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场地器材：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在训练场上标出起（终）点线和折返线，起点线距折返线</w:t>
      </w:r>
      <w:r>
        <w:rPr>
          <w:rFonts w:ascii="仿宋_GB2312" w:hAnsi="微软雅黑" w:eastAsia="仿宋_GB2312"/>
          <w:color w:val="333333"/>
          <w:sz w:val="32"/>
          <w:szCs w:val="32"/>
        </w:rPr>
        <w:t>10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米。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受测者分组测，每组人员在起点线一侧站成一排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在起点线处做好准备，听到“开始”的口令，从起点出发，单脚踏过折返线后，立刻转身冲刺回到起跑线；单脚踏过起跑线后立刻转身冲刺回折返线，以此类推，直至做完五次折返完成</w:t>
      </w:r>
      <w:r>
        <w:rPr>
          <w:rFonts w:ascii="仿宋_GB2312" w:hAnsi="微软雅黑" w:eastAsia="仿宋_GB2312"/>
          <w:color w:val="333333"/>
          <w:sz w:val="32"/>
          <w:szCs w:val="32"/>
        </w:rPr>
        <w:t>100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米，并冲过终点。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3" w:firstLineChars="200"/>
        <w:jc w:val="left"/>
        <w:rPr>
          <w:rFonts w:ascii="黑体" w:hAnsi="微软雅黑" w:eastAsia="黑体"/>
          <w:b/>
          <w:color w:val="333333"/>
          <w:sz w:val="32"/>
          <w:szCs w:val="32"/>
          <w:highlight w:val="white"/>
        </w:rPr>
      </w:pPr>
      <w:r>
        <w:rPr>
          <w:rFonts w:hint="eastAsia" w:ascii="黑体" w:hAnsi="微软雅黑" w:eastAsia="黑体"/>
          <w:b/>
          <w:color w:val="333333"/>
          <w:sz w:val="32"/>
          <w:szCs w:val="32"/>
          <w:highlight w:val="white"/>
        </w:rPr>
        <w:t>三、单杠引体向上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高单杠或高横杠，杠粗以手能握住为准。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受测者做好准备，听到“开始”口令跳起双手正握杠，两手与肩同宽呈直臂悬垂。静止后，两臂同时用力拉杠引体，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下颌过杠，然后还原成悬垂动作，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</w:rPr>
        <w:t>以下颌超过杠端为合格计算数量，下颌未超过杠端的不计数，考生下杠后即算该项考核成绩，不得再上杠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。终点成绩记录员负责登记每人成绩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3" w:firstLineChars="200"/>
        <w:jc w:val="left"/>
        <w:rPr>
          <w:rFonts w:ascii="黑体" w:hAnsi="微软雅黑" w:eastAsia="黑体"/>
          <w:b/>
          <w:color w:val="333333"/>
          <w:sz w:val="32"/>
          <w:szCs w:val="32"/>
          <w:highlight w:val="white"/>
        </w:rPr>
      </w:pPr>
      <w:r>
        <w:rPr>
          <w:rFonts w:hint="eastAsia" w:ascii="黑体" w:hAnsi="微软雅黑" w:eastAsia="黑体"/>
          <w:b/>
          <w:color w:val="333333"/>
          <w:sz w:val="32"/>
          <w:szCs w:val="32"/>
          <w:highlight w:val="white"/>
        </w:rPr>
        <w:t>四、</w:t>
      </w:r>
      <w:r>
        <w:rPr>
          <w:rFonts w:ascii="黑体" w:hAnsi="微软雅黑" w:eastAsia="黑体"/>
          <w:b/>
          <w:color w:val="333333"/>
          <w:sz w:val="32"/>
          <w:szCs w:val="32"/>
          <w:highlight w:val="white"/>
        </w:rPr>
        <w:t xml:space="preserve">100 </w:t>
      </w:r>
      <w:r>
        <w:rPr>
          <w:rFonts w:hint="eastAsia" w:ascii="黑体" w:hAnsi="微软雅黑" w:eastAsia="黑体"/>
          <w:b/>
          <w:color w:val="333333"/>
          <w:sz w:val="32"/>
          <w:szCs w:val="32"/>
          <w:highlight w:val="white"/>
        </w:rPr>
        <w:t>米负重</w:t>
      </w:r>
    </w:p>
    <w:p>
      <w:pPr>
        <w:spacing w:line="560" w:lineRule="exact"/>
        <w:ind w:firstLine="643" w:firstLineChars="200"/>
        <w:jc w:val="left"/>
        <w:rPr>
          <w:rFonts w:ascii="楷体_GB2312" w:hAnsi="宋体" w:eastAsia="楷体_GB2312" w:cs="宋体"/>
          <w:b/>
          <w:color w:val="333333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（一）场地设置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在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100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米跑道上分别标出起点线和终点线，在起点线前放置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65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毫米口径水带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2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盘。</w:t>
      </w:r>
    </w:p>
    <w:p>
      <w:pPr>
        <w:spacing w:line="560" w:lineRule="exact"/>
        <w:ind w:firstLine="643" w:firstLineChars="200"/>
        <w:jc w:val="left"/>
        <w:rPr>
          <w:rFonts w:ascii="楷体_GB2312" w:hAnsi="宋体" w:eastAsia="楷体_GB2312" w:cs="宋体"/>
          <w:b/>
          <w:color w:val="333333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（二）操作程序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听到“预备”口令，受测者在起点线处做好操作准备。听到“开始”的口令，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受测者双手提起水带向前跑进，冲出终点线。</w:t>
      </w:r>
    </w:p>
    <w:p>
      <w:pPr>
        <w:spacing w:line="560" w:lineRule="exact"/>
        <w:ind w:firstLine="643" w:firstLineChars="200"/>
        <w:jc w:val="left"/>
        <w:rPr>
          <w:rFonts w:ascii="楷体_GB2312" w:hAnsi="宋体" w:eastAsia="楷体_GB2312" w:cs="宋体"/>
          <w:b/>
          <w:color w:val="333333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（三）操作要求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>1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．受测者着灭火防护服、消防头盔、消防安全腰带、安全绳、腰斧、防护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靴，佩戴或携带消防手套、防爆照明灯、呼救器，背负空气呼吸器（不携带面罩），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空气呼吸器气瓶容积为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6.8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升，压力不得小于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25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兆帕。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>2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．作业前，手和脚不得越过起点线，不可触摸水带。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>3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．灭火防护服裤腿及衣袖不得挽起，防护靴不得采取任何措施与灭火防护服裤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子或腿部固定，防护靴上沿不得外翻。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>4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．跑动时，个人防护装备及水带不得接触地面。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>5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．每盘水带长度不小于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20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米（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16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型），不得使用任何工具对水带进行捆绑固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 xml:space="preserve"> 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定，水带接口不可互相连接。</w:t>
      </w:r>
    </w:p>
    <w:p>
      <w:pPr>
        <w:spacing w:line="560" w:lineRule="exact"/>
        <w:ind w:firstLine="643" w:firstLineChars="200"/>
        <w:jc w:val="left"/>
        <w:rPr>
          <w:rFonts w:ascii="楷体_GB2312" w:hAnsi="宋体" w:eastAsia="楷体_GB2312" w:cs="宋体"/>
          <w:b/>
          <w:color w:val="333333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（四）成绩评定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计时从发出“开始”信号时，到身体有效部位越过终点线止。终点成绩记录员负责登记每人成绩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3" w:firstLineChars="200"/>
        <w:jc w:val="left"/>
        <w:rPr>
          <w:rFonts w:ascii="楷体_GB2312" w:hAnsi="宋体" w:eastAsia="楷体_GB2312" w:cs="宋体"/>
          <w:b/>
          <w:color w:val="333333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highlight w:val="white"/>
        </w:rPr>
        <w:t>（五）评判细则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有下列情况之一的，重新跑：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（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>1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）擅自改动个人防护装备或不按要求着装。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（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>2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）操作前水带未双卷立放于地面。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（</w:t>
      </w:r>
      <w:r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  <w:t>3</w:t>
      </w:r>
      <w:r>
        <w:rPr>
          <w:rFonts w:hint="eastAsia" w:ascii="仿宋_GB2312" w:hAnsi="宋体" w:eastAsia="仿宋_GB2312" w:cs="宋体"/>
          <w:color w:val="333333"/>
          <w:sz w:val="32"/>
          <w:szCs w:val="32"/>
          <w:highlight w:val="white"/>
        </w:rPr>
        <w:t>）冲出终点线后，个人防护装备佩戴不齐全；水带散开或掉落未重新整理，拖拉水带至终点线。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highlight w:val="white"/>
        </w:rPr>
      </w:pPr>
    </w:p>
    <w:sectPr>
      <w:footerReference r:id="rId3" w:type="default"/>
      <w:footerReference r:id="rId4" w:type="even"/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7F8CD3-D7A2-4E2B-8F46-B90F66310B0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9B952E4-76F3-4E6A-98FB-39871F99D7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8B815AA-A971-4B27-A961-7119BF361A0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FB4ABB95-30F2-45FD-B02E-9C4E10B3E8E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4F3E48D-3E8A-4602-A026-3CDD7ED489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separate"/>
    </w:r>
    <w:r>
      <w:rPr>
        <w:rStyle w:val="26"/>
      </w:rPr>
      <w:t>3</w:t>
    </w:r>
    <w:r>
      <w:rPr>
        <w:rStyle w:val="26"/>
      </w:rP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end"/>
    </w:r>
  </w:p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D"/>
    <w:rsid w:val="0007265A"/>
    <w:rsid w:val="000B1251"/>
    <w:rsid w:val="000F0839"/>
    <w:rsid w:val="001B7825"/>
    <w:rsid w:val="002A3492"/>
    <w:rsid w:val="002A5F93"/>
    <w:rsid w:val="002E2711"/>
    <w:rsid w:val="003610EB"/>
    <w:rsid w:val="00387D23"/>
    <w:rsid w:val="003A2048"/>
    <w:rsid w:val="003F257D"/>
    <w:rsid w:val="00420F46"/>
    <w:rsid w:val="004448DF"/>
    <w:rsid w:val="004818CA"/>
    <w:rsid w:val="004A03E9"/>
    <w:rsid w:val="004A4C54"/>
    <w:rsid w:val="00563449"/>
    <w:rsid w:val="005C3DDB"/>
    <w:rsid w:val="005C4D1C"/>
    <w:rsid w:val="005E61FE"/>
    <w:rsid w:val="005F1CB3"/>
    <w:rsid w:val="00674B6D"/>
    <w:rsid w:val="00726AFE"/>
    <w:rsid w:val="00746BD6"/>
    <w:rsid w:val="00781723"/>
    <w:rsid w:val="008243BC"/>
    <w:rsid w:val="00882C64"/>
    <w:rsid w:val="009069AB"/>
    <w:rsid w:val="009422F4"/>
    <w:rsid w:val="00997922"/>
    <w:rsid w:val="00A3234F"/>
    <w:rsid w:val="00B132CA"/>
    <w:rsid w:val="00B94807"/>
    <w:rsid w:val="00C46977"/>
    <w:rsid w:val="00D13AD4"/>
    <w:rsid w:val="00D41561"/>
    <w:rsid w:val="00DC0BE8"/>
    <w:rsid w:val="00DE61E5"/>
    <w:rsid w:val="00E57630"/>
    <w:rsid w:val="00EE1787"/>
    <w:rsid w:val="00F15AD9"/>
    <w:rsid w:val="00F1745D"/>
    <w:rsid w:val="00FF4F6B"/>
    <w:rsid w:val="61C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29"/>
    <w:qFormat/>
    <w:uiPriority w:val="99"/>
    <w:pPr>
      <w:outlineLvl w:val="1"/>
    </w:pPr>
  </w:style>
  <w:style w:type="paragraph" w:styleId="4">
    <w:name w:val="heading 3"/>
    <w:basedOn w:val="1"/>
    <w:next w:val="1"/>
    <w:link w:val="30"/>
    <w:qFormat/>
    <w:uiPriority w:val="99"/>
    <w:pPr>
      <w:ind w:left="1000" w:hanging="400"/>
      <w:outlineLvl w:val="2"/>
    </w:pPr>
  </w:style>
  <w:style w:type="paragraph" w:styleId="5">
    <w:name w:val="heading 4"/>
    <w:basedOn w:val="1"/>
    <w:next w:val="1"/>
    <w:link w:val="31"/>
    <w:qFormat/>
    <w:uiPriority w:val="99"/>
    <w:pPr>
      <w:ind w:left="1200" w:hanging="400"/>
      <w:outlineLvl w:val="3"/>
    </w:pPr>
    <w:rPr>
      <w:b/>
    </w:rPr>
  </w:style>
  <w:style w:type="paragraph" w:styleId="6">
    <w:name w:val="heading 5"/>
    <w:basedOn w:val="1"/>
    <w:next w:val="1"/>
    <w:link w:val="32"/>
    <w:qFormat/>
    <w:uiPriority w:val="99"/>
    <w:pPr>
      <w:ind w:left="1400" w:hanging="400"/>
      <w:outlineLvl w:val="4"/>
    </w:pPr>
  </w:style>
  <w:style w:type="paragraph" w:styleId="7">
    <w:name w:val="heading 6"/>
    <w:basedOn w:val="1"/>
    <w:next w:val="1"/>
    <w:link w:val="33"/>
    <w:qFormat/>
    <w:uiPriority w:val="99"/>
    <w:pPr>
      <w:ind w:left="1600" w:hanging="400"/>
      <w:outlineLvl w:val="5"/>
    </w:pPr>
    <w:rPr>
      <w:b/>
    </w:rPr>
  </w:style>
  <w:style w:type="paragraph" w:styleId="8">
    <w:name w:val="heading 7"/>
    <w:basedOn w:val="1"/>
    <w:next w:val="1"/>
    <w:link w:val="34"/>
    <w:qFormat/>
    <w:uiPriority w:val="99"/>
    <w:pPr>
      <w:ind w:left="1800" w:hanging="400"/>
      <w:outlineLvl w:val="6"/>
    </w:pPr>
  </w:style>
  <w:style w:type="paragraph" w:styleId="9">
    <w:name w:val="heading 8"/>
    <w:basedOn w:val="1"/>
    <w:next w:val="1"/>
    <w:link w:val="35"/>
    <w:qFormat/>
    <w:uiPriority w:val="99"/>
    <w:pPr>
      <w:ind w:left="2000" w:hanging="400"/>
      <w:outlineLvl w:val="7"/>
    </w:pPr>
  </w:style>
  <w:style w:type="paragraph" w:styleId="10">
    <w:name w:val="heading 9"/>
    <w:basedOn w:val="1"/>
    <w:next w:val="1"/>
    <w:link w:val="36"/>
    <w:qFormat/>
    <w:uiPriority w:val="99"/>
    <w:pPr>
      <w:ind w:left="2200" w:hanging="400"/>
      <w:outlineLvl w:val="8"/>
    </w:pPr>
  </w:style>
  <w:style w:type="character" w:default="1" w:styleId="24">
    <w:name w:val="Default Paragraph Font"/>
    <w:semiHidden/>
    <w:qFormat/>
    <w:uiPriority w:val="99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99"/>
    <w:pPr>
      <w:ind w:left="2550"/>
    </w:pPr>
  </w:style>
  <w:style w:type="paragraph" w:styleId="12">
    <w:name w:val="toc 5"/>
    <w:basedOn w:val="1"/>
    <w:next w:val="1"/>
    <w:uiPriority w:val="99"/>
    <w:pPr>
      <w:ind w:left="1700"/>
    </w:pPr>
  </w:style>
  <w:style w:type="paragraph" w:styleId="13">
    <w:name w:val="toc 3"/>
    <w:basedOn w:val="1"/>
    <w:next w:val="1"/>
    <w:uiPriority w:val="99"/>
    <w:pPr>
      <w:ind w:left="850"/>
    </w:pPr>
  </w:style>
  <w:style w:type="paragraph" w:styleId="14">
    <w:name w:val="toc 8"/>
    <w:basedOn w:val="1"/>
    <w:next w:val="1"/>
    <w:uiPriority w:val="99"/>
    <w:pPr>
      <w:ind w:left="2975"/>
    </w:pPr>
  </w:style>
  <w:style w:type="paragraph" w:styleId="15">
    <w:name w:val="footer"/>
    <w:basedOn w:val="1"/>
    <w:link w:val="5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uiPriority w:val="99"/>
  </w:style>
  <w:style w:type="paragraph" w:styleId="17">
    <w:name w:val="toc 4"/>
    <w:basedOn w:val="1"/>
    <w:next w:val="1"/>
    <w:uiPriority w:val="99"/>
    <w:pPr>
      <w:ind w:left="1275"/>
    </w:pPr>
  </w:style>
  <w:style w:type="paragraph" w:styleId="18">
    <w:name w:val="Subtitle"/>
    <w:basedOn w:val="1"/>
    <w:link w:val="39"/>
    <w:qFormat/>
    <w:uiPriority w:val="99"/>
    <w:pPr>
      <w:jc w:val="center"/>
    </w:pPr>
    <w:rPr>
      <w:sz w:val="24"/>
      <w:szCs w:val="24"/>
    </w:rPr>
  </w:style>
  <w:style w:type="paragraph" w:styleId="19">
    <w:name w:val="toc 6"/>
    <w:basedOn w:val="1"/>
    <w:next w:val="1"/>
    <w:uiPriority w:val="99"/>
    <w:pPr>
      <w:ind w:left="2125"/>
    </w:pPr>
  </w:style>
  <w:style w:type="paragraph" w:styleId="20">
    <w:name w:val="toc 2"/>
    <w:basedOn w:val="1"/>
    <w:next w:val="1"/>
    <w:uiPriority w:val="99"/>
    <w:pPr>
      <w:ind w:left="425"/>
    </w:pPr>
  </w:style>
  <w:style w:type="paragraph" w:styleId="21">
    <w:name w:val="toc 9"/>
    <w:basedOn w:val="1"/>
    <w:next w:val="1"/>
    <w:uiPriority w:val="99"/>
    <w:pPr>
      <w:ind w:left="3400"/>
    </w:pPr>
  </w:style>
  <w:style w:type="paragraph" w:styleId="22">
    <w:name w:val="Title"/>
    <w:basedOn w:val="1"/>
    <w:link w:val="38"/>
    <w:qFormat/>
    <w:uiPriority w:val="99"/>
    <w:pPr>
      <w:jc w:val="center"/>
    </w:pPr>
    <w:rPr>
      <w:b/>
      <w:sz w:val="32"/>
      <w:szCs w:val="32"/>
    </w:rPr>
  </w:style>
  <w:style w:type="character" w:styleId="25">
    <w:name w:val="Strong"/>
    <w:basedOn w:val="24"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6">
    <w:name w:val="page number"/>
    <w:basedOn w:val="24"/>
    <w:uiPriority w:val="99"/>
    <w:rPr>
      <w:rFonts w:cs="Times New Roman"/>
    </w:rPr>
  </w:style>
  <w:style w:type="character" w:styleId="27">
    <w:name w:val="Emphasis"/>
    <w:basedOn w:val="24"/>
    <w:qFormat/>
    <w:uiPriority w:val="99"/>
    <w:rPr>
      <w:rFonts w:cs="Times New Roman"/>
      <w:i/>
      <w:w w:val="100"/>
      <w:sz w:val="21"/>
      <w:shd w:val="clear" w:color="auto" w:fill="auto"/>
    </w:rPr>
  </w:style>
  <w:style w:type="character" w:customStyle="1" w:styleId="28">
    <w:name w:val="Heading 1 Char"/>
    <w:basedOn w:val="24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9">
    <w:name w:val="Heading 2 Char"/>
    <w:basedOn w:val="24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0">
    <w:name w:val="Heading 3 Char"/>
    <w:basedOn w:val="24"/>
    <w:link w:val="4"/>
    <w:semiHidden/>
    <w:qFormat/>
    <w:locked/>
    <w:uiPriority w:val="99"/>
    <w:rPr>
      <w:rFonts w:cs="Times New Roman"/>
      <w:b/>
      <w:bCs/>
      <w:kern w:val="0"/>
      <w:sz w:val="32"/>
      <w:szCs w:val="32"/>
    </w:rPr>
  </w:style>
  <w:style w:type="character" w:customStyle="1" w:styleId="31">
    <w:name w:val="Heading 4 Char"/>
    <w:basedOn w:val="24"/>
    <w:link w:val="5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2">
    <w:name w:val="Heading 5 Char"/>
    <w:basedOn w:val="24"/>
    <w:link w:val="6"/>
    <w:semiHidden/>
    <w:qFormat/>
    <w:locked/>
    <w:uiPriority w:val="99"/>
    <w:rPr>
      <w:rFonts w:cs="Times New Roman"/>
      <w:b/>
      <w:bCs/>
      <w:kern w:val="0"/>
      <w:sz w:val="28"/>
      <w:szCs w:val="28"/>
    </w:rPr>
  </w:style>
  <w:style w:type="character" w:customStyle="1" w:styleId="33">
    <w:name w:val="Heading 6 Char"/>
    <w:basedOn w:val="24"/>
    <w:link w:val="7"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4">
    <w:name w:val="Heading 7 Char"/>
    <w:basedOn w:val="24"/>
    <w:link w:val="8"/>
    <w:semiHidden/>
    <w:qFormat/>
    <w:locked/>
    <w:uiPriority w:val="99"/>
    <w:rPr>
      <w:rFonts w:cs="Times New Roman"/>
      <w:b/>
      <w:bCs/>
      <w:kern w:val="0"/>
      <w:sz w:val="24"/>
      <w:szCs w:val="24"/>
    </w:rPr>
  </w:style>
  <w:style w:type="character" w:customStyle="1" w:styleId="35">
    <w:name w:val="Heading 8 Char"/>
    <w:basedOn w:val="24"/>
    <w:link w:val="9"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36">
    <w:name w:val="Heading 9 Char"/>
    <w:basedOn w:val="24"/>
    <w:link w:val="10"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paragraph" w:styleId="37">
    <w:name w:val="No Spacing"/>
    <w:qFormat/>
    <w:uiPriority w:val="99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customStyle="1" w:styleId="38">
    <w:name w:val="Title Char"/>
    <w:basedOn w:val="24"/>
    <w:link w:val="22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9">
    <w:name w:val="Subtitle Char"/>
    <w:basedOn w:val="24"/>
    <w:link w:val="18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0">
    <w:name w:val="Subtle Emphasis"/>
    <w:basedOn w:val="24"/>
    <w:qFormat/>
    <w:uiPriority w:val="99"/>
    <w:rPr>
      <w:rFonts w:cs="Times New Roman"/>
      <w:i/>
      <w:color w:val="404040"/>
      <w:w w:val="100"/>
      <w:sz w:val="21"/>
      <w:shd w:val="clear" w:color="auto" w:fill="auto"/>
    </w:rPr>
  </w:style>
  <w:style w:type="character" w:customStyle="1" w:styleId="41">
    <w:name w:val="Intense Emphasis"/>
    <w:basedOn w:val="24"/>
    <w:qFormat/>
    <w:uiPriority w:val="99"/>
    <w:rPr>
      <w:rFonts w:cs="Times New Roman"/>
      <w:i/>
      <w:color w:val="5B9BD5"/>
      <w:w w:val="100"/>
      <w:sz w:val="21"/>
      <w:shd w:val="clear" w:color="auto" w:fill="auto"/>
    </w:rPr>
  </w:style>
  <w:style w:type="paragraph" w:styleId="42">
    <w:name w:val="Quote"/>
    <w:basedOn w:val="1"/>
    <w:link w:val="43"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3">
    <w:name w:val="Quote Char"/>
    <w:basedOn w:val="24"/>
    <w:link w:val="42"/>
    <w:locked/>
    <w:uiPriority w:val="99"/>
    <w:rPr>
      <w:rFonts w:cs="Times New Roman"/>
      <w:i/>
      <w:iCs/>
      <w:color w:val="000000"/>
      <w:kern w:val="0"/>
      <w:sz w:val="21"/>
      <w:szCs w:val="21"/>
    </w:rPr>
  </w:style>
  <w:style w:type="paragraph" w:styleId="44">
    <w:name w:val="Intense Quote"/>
    <w:basedOn w:val="1"/>
    <w:link w:val="45"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45">
    <w:name w:val="Intense Quote Char"/>
    <w:basedOn w:val="24"/>
    <w:link w:val="44"/>
    <w:locked/>
    <w:uiPriority w:val="99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customStyle="1" w:styleId="46">
    <w:name w:val="Subtle Reference"/>
    <w:basedOn w:val="24"/>
    <w:qFormat/>
    <w:uiPriority w:val="99"/>
    <w:rPr>
      <w:rFonts w:cs="Times New Roman"/>
      <w:smallCaps/>
      <w:color w:val="5A5A5A"/>
      <w:w w:val="100"/>
      <w:sz w:val="21"/>
      <w:shd w:val="clear" w:color="auto" w:fill="auto"/>
    </w:rPr>
  </w:style>
  <w:style w:type="character" w:customStyle="1" w:styleId="47">
    <w:name w:val="Intense Reference"/>
    <w:basedOn w:val="24"/>
    <w:qFormat/>
    <w:uiPriority w:val="99"/>
    <w:rPr>
      <w:rFonts w:cs="Times New Roman"/>
      <w:b/>
      <w:smallCaps/>
      <w:color w:val="5B9BD5"/>
      <w:w w:val="100"/>
      <w:sz w:val="21"/>
      <w:shd w:val="clear" w:color="auto" w:fill="auto"/>
    </w:rPr>
  </w:style>
  <w:style w:type="character" w:customStyle="1" w:styleId="48">
    <w:name w:val="Book Title"/>
    <w:basedOn w:val="24"/>
    <w:qFormat/>
    <w:uiPriority w:val="99"/>
    <w:rPr>
      <w:rFonts w:cs="Times New Roman"/>
      <w:b/>
      <w:i/>
      <w:w w:val="100"/>
      <w:sz w:val="21"/>
      <w:shd w:val="clear" w:color="auto" w:fill="auto"/>
    </w:rPr>
  </w:style>
  <w:style w:type="paragraph" w:styleId="49">
    <w:name w:val="List Paragraph"/>
    <w:basedOn w:val="1"/>
    <w:qFormat/>
    <w:uiPriority w:val="99"/>
    <w:pPr>
      <w:ind w:left="850"/>
    </w:pPr>
  </w:style>
  <w:style w:type="paragraph" w:customStyle="1" w:styleId="50">
    <w:name w:val="TOC Heading"/>
    <w:basedOn w:val="2"/>
    <w:qFormat/>
    <w:uiPriority w:val="99"/>
    <w:pPr>
      <w:outlineLvl w:val="9"/>
    </w:pPr>
    <w:rPr>
      <w:color w:val="2E74B5"/>
      <w:sz w:val="32"/>
      <w:szCs w:val="32"/>
    </w:rPr>
  </w:style>
  <w:style w:type="character" w:customStyle="1" w:styleId="51">
    <w:name w:val="Footer Char"/>
    <w:basedOn w:val="24"/>
    <w:link w:val="15"/>
    <w:semiHidden/>
    <w:locked/>
    <w:uiPriority w:val="99"/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175</Words>
  <Characters>1003</Characters>
  <Lines>0</Lines>
  <Paragraphs>0</Paragraphs>
  <TotalTime>470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2017-11-28T08:47:00Z</dcterms:created>
  <dc:creator>郭富城1419848983</dc:creator>
  <cp:lastModifiedBy>郭富城1419848983</cp:lastModifiedBy>
  <dcterms:modified xsi:type="dcterms:W3CDTF">2019-09-30T00:41:21Z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