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大标宋简体" w:hAnsi="仿宋" w:eastAsia="方正大标宋简体" w:cs="仿宋_GB2312"/>
          <w:bCs/>
          <w:color w:val="000000"/>
          <w:sz w:val="44"/>
          <w:szCs w:val="44"/>
        </w:rPr>
      </w:pPr>
      <w:bookmarkStart w:id="0" w:name="_GoBack"/>
      <w:r>
        <w:rPr>
          <w:rFonts w:hint="eastAsia" w:ascii="方正大标宋简体" w:hAnsi="仿宋" w:eastAsia="方正大标宋简体" w:cs="仿宋_GB2312"/>
          <w:bCs/>
          <w:color w:val="000000"/>
          <w:sz w:val="44"/>
          <w:szCs w:val="44"/>
        </w:rPr>
        <w:t>周至县公开选调人大常委会预算联网监督事务中心工作人员岗位一览表</w:t>
      </w:r>
    </w:p>
    <w:bookmarkEnd w:id="0"/>
    <w:p>
      <w:pPr>
        <w:rPr>
          <w:rFonts w:hint="eastAsia"/>
          <w:color w:val="000000"/>
        </w:rPr>
      </w:pPr>
    </w:p>
    <w:tbl>
      <w:tblPr>
        <w:tblStyle w:val="3"/>
        <w:tblpPr w:leftFromText="180" w:rightFromText="180" w:vertAnchor="text" w:horzAnchor="margin" w:tblpXSpec="center" w:tblpY="242"/>
        <w:tblW w:w="93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530"/>
        <w:gridCol w:w="940"/>
        <w:gridCol w:w="355"/>
        <w:gridCol w:w="535"/>
        <w:gridCol w:w="525"/>
        <w:gridCol w:w="840"/>
        <w:gridCol w:w="2205"/>
        <w:gridCol w:w="525"/>
        <w:gridCol w:w="12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3" w:hRule="atLeast"/>
        </w:trPr>
        <w:tc>
          <w:tcPr>
            <w:tcW w:w="530" w:type="dxa"/>
            <w:vMerge w:val="restart"/>
            <w:shd w:val="clear" w:color="auto" w:fill="FFFFFF"/>
            <w:noWrap w:val="0"/>
            <w:tcMar>
              <w:top w:w="0" w:type="dxa"/>
              <w:left w:w="0" w:type="dxa"/>
              <w:bottom w:w="0" w:type="dxa"/>
              <w:right w:w="0" w:type="dxa"/>
            </w:tcMar>
            <w:vAlign w:val="center"/>
          </w:tcPr>
          <w:p>
            <w:pPr>
              <w:spacing w:line="380" w:lineRule="exact"/>
              <w:jc w:val="center"/>
              <w:rPr>
                <w:rFonts w:hint="eastAsia" w:ascii="仿宋" w:hAnsi="仿宋" w:eastAsia="仿宋"/>
                <w:color w:val="000000"/>
                <w:sz w:val="24"/>
              </w:rPr>
            </w:pPr>
            <w:r>
              <w:rPr>
                <w:rFonts w:ascii="仿宋" w:hAnsi="仿宋" w:eastAsia="仿宋"/>
                <w:color w:val="000000"/>
                <w:sz w:val="24"/>
              </w:rPr>
              <w:t>单位</w:t>
            </w:r>
          </w:p>
          <w:p>
            <w:pPr>
              <w:spacing w:line="380" w:lineRule="exact"/>
              <w:jc w:val="center"/>
              <w:rPr>
                <w:rFonts w:ascii="仿宋" w:hAnsi="仿宋" w:eastAsia="仿宋"/>
                <w:color w:val="000000"/>
                <w:sz w:val="24"/>
              </w:rPr>
            </w:pPr>
            <w:r>
              <w:rPr>
                <w:rFonts w:ascii="仿宋" w:hAnsi="仿宋" w:eastAsia="仿宋"/>
                <w:color w:val="000000"/>
                <w:sz w:val="24"/>
              </w:rPr>
              <w:t>名称</w:t>
            </w:r>
          </w:p>
        </w:tc>
        <w:tc>
          <w:tcPr>
            <w:tcW w:w="940" w:type="dxa"/>
            <w:vMerge w:val="restart"/>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单位类型</w:t>
            </w:r>
          </w:p>
        </w:tc>
        <w:tc>
          <w:tcPr>
            <w:tcW w:w="355" w:type="dxa"/>
            <w:vMerge w:val="restart"/>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岗位名称</w:t>
            </w:r>
          </w:p>
        </w:tc>
        <w:tc>
          <w:tcPr>
            <w:tcW w:w="535" w:type="dxa"/>
            <w:vMerge w:val="restart"/>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选调人数</w:t>
            </w:r>
          </w:p>
        </w:tc>
        <w:tc>
          <w:tcPr>
            <w:tcW w:w="7035" w:type="dxa"/>
            <w:gridSpan w:val="6"/>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06" w:hRule="atLeast"/>
        </w:trPr>
        <w:tc>
          <w:tcPr>
            <w:tcW w:w="530"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940"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355"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535"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学历性质</w:t>
            </w:r>
          </w:p>
        </w:tc>
        <w:tc>
          <w:tcPr>
            <w:tcW w:w="840" w:type="dxa"/>
            <w:shd w:val="clear" w:color="auto" w:fill="FFFFFF"/>
            <w:noWrap w:val="0"/>
            <w:tcMar>
              <w:top w:w="0" w:type="dxa"/>
              <w:left w:w="0" w:type="dxa"/>
              <w:bottom w:w="0" w:type="dxa"/>
              <w:right w:w="0" w:type="dxa"/>
            </w:tcMar>
            <w:vAlign w:val="center"/>
          </w:tcPr>
          <w:p>
            <w:pPr>
              <w:spacing w:line="380" w:lineRule="exact"/>
              <w:jc w:val="center"/>
              <w:rPr>
                <w:rFonts w:hint="eastAsia" w:ascii="仿宋" w:hAnsi="仿宋" w:eastAsia="仿宋"/>
                <w:color w:val="000000"/>
                <w:sz w:val="24"/>
              </w:rPr>
            </w:pPr>
            <w:r>
              <w:rPr>
                <w:rFonts w:ascii="仿宋" w:hAnsi="仿宋" w:eastAsia="仿宋"/>
                <w:color w:val="000000"/>
                <w:sz w:val="24"/>
              </w:rPr>
              <w:t>学</w:t>
            </w:r>
          </w:p>
          <w:p>
            <w:pPr>
              <w:spacing w:line="380" w:lineRule="exact"/>
              <w:jc w:val="center"/>
              <w:rPr>
                <w:rFonts w:ascii="仿宋" w:hAnsi="仿宋" w:eastAsia="仿宋"/>
                <w:color w:val="000000"/>
                <w:sz w:val="24"/>
              </w:rPr>
            </w:pPr>
            <w:r>
              <w:rPr>
                <w:rFonts w:ascii="仿宋" w:hAnsi="仿宋" w:eastAsia="仿宋"/>
                <w:color w:val="000000"/>
                <w:sz w:val="24"/>
              </w:rPr>
              <w:t>历</w:t>
            </w:r>
          </w:p>
        </w:tc>
        <w:tc>
          <w:tcPr>
            <w:tcW w:w="220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专业名称</w:t>
            </w: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年龄要求</w:t>
            </w:r>
          </w:p>
        </w:tc>
        <w:tc>
          <w:tcPr>
            <w:tcW w:w="1260"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其他条件</w:t>
            </w:r>
          </w:p>
        </w:tc>
        <w:tc>
          <w:tcPr>
            <w:tcW w:w="1680" w:type="dxa"/>
            <w:shd w:val="clear" w:color="auto" w:fill="FFFFFF"/>
            <w:noWrap w:val="0"/>
            <w:tcMar>
              <w:top w:w="0" w:type="dxa"/>
              <w:left w:w="0" w:type="dxa"/>
              <w:bottom w:w="0" w:type="dxa"/>
              <w:right w:w="0" w:type="dxa"/>
            </w:tcMar>
            <w:vAlign w:val="center"/>
          </w:tcPr>
          <w:p>
            <w:pPr>
              <w:widowControl/>
              <w:spacing w:line="528" w:lineRule="atLeast"/>
              <w:jc w:val="center"/>
              <w:rPr>
                <w:rFonts w:ascii="仿宋" w:hAnsi="仿宋" w:eastAsia="仿宋" w:cs="Arial"/>
                <w:color w:val="000000"/>
                <w:kern w:val="0"/>
                <w:sz w:val="22"/>
              </w:rPr>
            </w:pPr>
            <w:r>
              <w:rPr>
                <w:rFonts w:ascii="仿宋" w:hAnsi="仿宋" w:eastAsia="仿宋" w:cs="Arial"/>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95" w:hRule="atLeast"/>
        </w:trPr>
        <w:tc>
          <w:tcPr>
            <w:tcW w:w="530" w:type="dxa"/>
            <w:vMerge w:val="restart"/>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周至县人大常委会预算联网监督事务中心</w:t>
            </w:r>
          </w:p>
        </w:tc>
        <w:tc>
          <w:tcPr>
            <w:tcW w:w="940" w:type="dxa"/>
            <w:vMerge w:val="restart"/>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全额拨款事业单位</w:t>
            </w:r>
          </w:p>
        </w:tc>
        <w:tc>
          <w:tcPr>
            <w:tcW w:w="35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计算机管理</w:t>
            </w:r>
          </w:p>
        </w:tc>
        <w:tc>
          <w:tcPr>
            <w:tcW w:w="53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1</w:t>
            </w: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国民教育序列院校</w:t>
            </w:r>
          </w:p>
        </w:tc>
        <w:tc>
          <w:tcPr>
            <w:tcW w:w="840"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本科及以上</w:t>
            </w:r>
          </w:p>
        </w:tc>
        <w:tc>
          <w:tcPr>
            <w:tcW w:w="220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电子信息工程、电子科学与技术、计算机科学与技术、通信工程、信息与通信工程、信息工程</w:t>
            </w: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35周岁及以下</w:t>
            </w:r>
          </w:p>
        </w:tc>
        <w:tc>
          <w:tcPr>
            <w:tcW w:w="1260"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限男性、具有2年及以上工作经历</w:t>
            </w:r>
          </w:p>
        </w:tc>
        <w:tc>
          <w:tcPr>
            <w:tcW w:w="1680" w:type="dxa"/>
            <w:vMerge w:val="restart"/>
            <w:shd w:val="clear" w:color="auto" w:fill="FFFFFF"/>
            <w:noWrap w:val="0"/>
            <w:tcMar>
              <w:top w:w="0" w:type="dxa"/>
              <w:left w:w="0" w:type="dxa"/>
              <w:bottom w:w="0" w:type="dxa"/>
              <w:right w:w="0" w:type="dxa"/>
            </w:tcMar>
            <w:vAlign w:val="center"/>
          </w:tcPr>
          <w:p>
            <w:pPr>
              <w:widowControl/>
              <w:spacing w:line="528" w:lineRule="atLeast"/>
              <w:jc w:val="center"/>
              <w:rPr>
                <w:rFonts w:ascii="仿宋" w:hAnsi="仿宋" w:eastAsia="仿宋" w:cs="Arial"/>
                <w:color w:val="000000"/>
                <w:kern w:val="0"/>
                <w:sz w:val="22"/>
              </w:rPr>
            </w:pPr>
            <w:r>
              <w:rPr>
                <w:rFonts w:ascii="仿宋" w:hAnsi="仿宋" w:eastAsia="仿宋" w:cs="Arial"/>
                <w:color w:val="000000"/>
                <w:kern w:val="0"/>
                <w:sz w:val="22"/>
              </w:rPr>
              <w:t>研究生学历专业不限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7" w:hRule="atLeast"/>
        </w:trPr>
        <w:tc>
          <w:tcPr>
            <w:tcW w:w="530"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940" w:type="dxa"/>
            <w:vMerge w:val="continue"/>
            <w:shd w:val="clear" w:color="auto" w:fill="FFFFFF"/>
            <w:noWrap w:val="0"/>
            <w:vAlign w:val="center"/>
          </w:tcPr>
          <w:p>
            <w:pPr>
              <w:spacing w:line="380" w:lineRule="exact"/>
              <w:jc w:val="center"/>
              <w:rPr>
                <w:rFonts w:ascii="仿宋" w:hAnsi="仿宋" w:eastAsia="仿宋"/>
                <w:color w:val="000000"/>
                <w:sz w:val="24"/>
              </w:rPr>
            </w:pPr>
          </w:p>
        </w:tc>
        <w:tc>
          <w:tcPr>
            <w:tcW w:w="35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财务管理</w:t>
            </w:r>
          </w:p>
        </w:tc>
        <w:tc>
          <w:tcPr>
            <w:tcW w:w="53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hint="eastAsia" w:ascii="仿宋" w:hAnsi="仿宋" w:eastAsia="仿宋"/>
                <w:color w:val="000000"/>
                <w:sz w:val="24"/>
              </w:rPr>
              <w:t>2</w:t>
            </w: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国民教育序列院校</w:t>
            </w:r>
          </w:p>
        </w:tc>
        <w:tc>
          <w:tcPr>
            <w:tcW w:w="840"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本科及以上</w:t>
            </w:r>
          </w:p>
        </w:tc>
        <w:tc>
          <w:tcPr>
            <w:tcW w:w="220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财政学、财务管理、会计学</w:t>
            </w:r>
          </w:p>
        </w:tc>
        <w:tc>
          <w:tcPr>
            <w:tcW w:w="525"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ascii="仿宋" w:hAnsi="仿宋" w:eastAsia="仿宋"/>
                <w:color w:val="000000"/>
                <w:sz w:val="24"/>
              </w:rPr>
              <w:t>35周岁及以下</w:t>
            </w:r>
          </w:p>
        </w:tc>
        <w:tc>
          <w:tcPr>
            <w:tcW w:w="1260" w:type="dxa"/>
            <w:shd w:val="clear" w:color="auto" w:fill="FFFFFF"/>
            <w:noWrap w:val="0"/>
            <w:tcMar>
              <w:top w:w="0" w:type="dxa"/>
              <w:left w:w="0" w:type="dxa"/>
              <w:bottom w:w="0" w:type="dxa"/>
              <w:right w:w="0" w:type="dxa"/>
            </w:tcMar>
            <w:vAlign w:val="center"/>
          </w:tcPr>
          <w:p>
            <w:pPr>
              <w:spacing w:line="380" w:lineRule="exact"/>
              <w:jc w:val="center"/>
              <w:rPr>
                <w:rFonts w:ascii="仿宋" w:hAnsi="仿宋" w:eastAsia="仿宋"/>
                <w:color w:val="000000"/>
                <w:sz w:val="24"/>
              </w:rPr>
            </w:pPr>
            <w:r>
              <w:rPr>
                <w:rFonts w:hint="eastAsia" w:ascii="仿宋" w:hAnsi="仿宋" w:eastAsia="仿宋"/>
                <w:color w:val="000000"/>
                <w:sz w:val="24"/>
              </w:rPr>
              <w:t>限最少1名</w:t>
            </w:r>
            <w:r>
              <w:rPr>
                <w:rFonts w:ascii="仿宋" w:hAnsi="仿宋" w:eastAsia="仿宋"/>
                <w:color w:val="000000"/>
                <w:sz w:val="24"/>
              </w:rPr>
              <w:t>男性</w:t>
            </w:r>
            <w:r>
              <w:rPr>
                <w:rFonts w:hint="eastAsia" w:ascii="仿宋" w:hAnsi="仿宋" w:eastAsia="仿宋"/>
                <w:color w:val="000000"/>
                <w:sz w:val="24"/>
              </w:rPr>
              <w:t>，</w:t>
            </w:r>
            <w:r>
              <w:rPr>
                <w:rFonts w:ascii="仿宋" w:hAnsi="仿宋" w:eastAsia="仿宋"/>
                <w:color w:val="000000"/>
                <w:sz w:val="24"/>
              </w:rPr>
              <w:t>具有2年及以上工作经历</w:t>
            </w:r>
          </w:p>
        </w:tc>
        <w:tc>
          <w:tcPr>
            <w:tcW w:w="1680" w:type="dxa"/>
            <w:vMerge w:val="continue"/>
            <w:shd w:val="clear" w:color="auto" w:fill="FFFFFF"/>
            <w:noWrap w:val="0"/>
            <w:vAlign w:val="center"/>
          </w:tcPr>
          <w:p>
            <w:pPr>
              <w:widowControl/>
              <w:jc w:val="left"/>
              <w:rPr>
                <w:rFonts w:ascii="仿宋" w:hAnsi="仿宋" w:eastAsia="仿宋" w:cs="Arial"/>
                <w:color w:val="000000"/>
                <w:kern w:val="0"/>
                <w:sz w:val="22"/>
              </w:rPr>
            </w:pPr>
          </w:p>
        </w:tc>
      </w:tr>
    </w:tbl>
    <w:p>
      <w:pPr>
        <w:widowControl/>
        <w:shd w:val="clear" w:color="auto" w:fill="FFFFFF"/>
        <w:rPr>
          <w:rFonts w:hint="eastAsia" w:ascii="仿宋" w:hAnsi="仿宋" w:eastAsia="仿宋" w:cs="宋体"/>
          <w:color w:val="000000"/>
          <w:kern w:val="0"/>
          <w:sz w:val="17"/>
          <w:szCs w:val="17"/>
        </w:rPr>
      </w:pPr>
    </w:p>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 w:hAnsi="仿宋" w:eastAsia="仿宋"/>
        <w:sz w:val="24"/>
        <w:szCs w:val="24"/>
      </w:rPr>
    </w:pPr>
    <w:r>
      <w:rPr>
        <w:rStyle w:val="5"/>
        <w:rFonts w:ascii="仿宋" w:hAnsi="仿宋" w:eastAsia="仿宋"/>
        <w:sz w:val="24"/>
        <w:szCs w:val="24"/>
      </w:rPr>
      <w:fldChar w:fldCharType="begin"/>
    </w:r>
    <w:r>
      <w:rPr>
        <w:rStyle w:val="5"/>
        <w:rFonts w:ascii="仿宋" w:hAnsi="仿宋" w:eastAsia="仿宋"/>
        <w:sz w:val="24"/>
        <w:szCs w:val="24"/>
      </w:rPr>
      <w:instrText xml:space="preserve">PAGE  </w:instrText>
    </w:r>
    <w:r>
      <w:rPr>
        <w:rStyle w:val="5"/>
        <w:rFonts w:ascii="仿宋" w:hAnsi="仿宋" w:eastAsia="仿宋"/>
        <w:sz w:val="24"/>
        <w:szCs w:val="24"/>
      </w:rPr>
      <w:fldChar w:fldCharType="separate"/>
    </w:r>
    <w:r>
      <w:rPr>
        <w:rStyle w:val="5"/>
        <w:rFonts w:ascii="仿宋" w:hAnsi="仿宋" w:eastAsia="仿宋"/>
        <w:sz w:val="24"/>
        <w:szCs w:val="24"/>
      </w:rPr>
      <w:t>- 1 -</w:t>
    </w:r>
    <w:r>
      <w:rPr>
        <w:rStyle w:val="5"/>
        <w:rFonts w:ascii="仿宋" w:hAnsi="仿宋" w:eastAsia="仿宋"/>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91AF5"/>
    <w:rsid w:val="6159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2019-09-27T09:59:00Z</dcterms:created>
  <dc:creator>石果</dc:creator>
  <cp:lastModifiedBy>石果</cp:lastModifiedBy>
  <dcterms:modified xsi:type="dcterms:W3CDTF">2019-09-27T09:59:58Z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