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22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45454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bdr w:val="none" w:color="auto" w:sz="0" w:space="0"/>
          <w:shd w:val="clear" w:fill="FFFFFF"/>
        </w:rPr>
        <w:t>惠州离子科学研究中心招聘具体岗位职责及应聘条件</w:t>
      </w:r>
      <w:bookmarkStart w:id="1" w:name="_GoBack"/>
      <w:bookmarkEnd w:id="1"/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2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5454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762500" cy="30480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U020190926371748572244.png&quot;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7830"/>
    <w:rsid w:val="433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2019-09-27T02:52:00Z</dcterms:created>
  <dc:creator>石果</dc:creator>
  <cp:lastModifiedBy>石果</cp:lastModifiedBy>
  <dcterms:modified xsi:type="dcterms:W3CDTF">2019-09-27T02:52:28Z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