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晋城市外事办下属事业单位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引进岗位及具体要求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如下：</w:t>
      </w:r>
    </w:p>
    <w:tbl>
      <w:tblPr>
        <w:tblW w:w="8181" w:type="dxa"/>
        <w:jc w:val="center"/>
        <w:tblInd w:w="17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624"/>
        <w:gridCol w:w="474"/>
        <w:gridCol w:w="2816"/>
        <w:gridCol w:w="1989"/>
        <w:gridCol w:w="169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引才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6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称</w:t>
            </w:r>
          </w:p>
        </w:tc>
        <w:tc>
          <w:tcPr>
            <w:tcW w:w="4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招聘岗位数</w:t>
            </w:r>
          </w:p>
        </w:tc>
        <w:tc>
          <w:tcPr>
            <w:tcW w:w="64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学历（学位）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和职称</w:t>
            </w: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市对外友好协会服务中心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专技岗位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日语笔译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日语口译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“双一流”、“985工程”、“211工程”院校和世界排名前200所高校（US News、QS、THE、ARWU四个研究机构发布的最新世界大学排名）的全日制硕士研究生及以上学历毕业生，毕业证书上专业需与岗位专业要求一致，并取得相应的学位证书。日语专业N1及以上；韩国语专业六级及以上；德语专业八级及以上，新闻学、传播学要求通过大学英语六级。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全日制硕士研究生年龄在35周岁以下（1983年9月1日以后出生）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全日制博士研究生年龄在40周岁以下（1978年9月1日以后出生）。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德语笔译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德语口译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韩国语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韩语笔译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韩语口译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朝鲜语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朝鲜语笔译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朝鲜语口译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6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市海峡交流协调服务中心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专技岗位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新闻学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0"/>
                <w:szCs w:val="20"/>
                <w:bdr w:val="none" w:color="auto" w:sz="0" w:space="0"/>
              </w:rPr>
              <w:t>传播学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4EA1"/>
    <w:rsid w:val="7B5B4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2019-09-09T03:16:00Z</dcterms:created>
  <dc:creator>ASUS</dc:creator>
  <cp:lastModifiedBy>ASUS</cp:lastModifiedBy>
  <dcterms:modified xsi:type="dcterms:W3CDTF">2019-09-09T03:16:40Z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