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4B90BE"/>
          <w:spacing w:val="0"/>
          <w:sz w:val="30"/>
          <w:szCs w:val="30"/>
          <w:bdr w:val="none" w:color="auto" w:sz="0" w:space="0"/>
          <w:shd w:val="clear" w:fill="FFFFFF"/>
        </w:rPr>
        <w:t>中国地质调查局地学文献中心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面试人员名单（按姓氏笔画排序）：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88" w:lineRule="atLeast"/>
        <w:ind w:left="0" w:right="0" w:firstLine="441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1.信息化建设岗：刘人硕、李 爽、赵 锴、柳顺政、贺鹏艳、韩 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88" w:lineRule="atLeast"/>
        <w:ind w:left="0" w:right="0" w:firstLine="441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2.英文摘要编辑岗：申倩倩、李会娜、沈 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88" w:lineRule="atLeast"/>
        <w:ind w:left="0" w:right="0" w:firstLine="441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3.干部人事管理岗：朱 琪、刘 蕊、肖 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F078B"/>
    <w:rsid w:val="281F0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2019-08-30T02:32:00Z</dcterms:created>
  <dc:creator>ASUS</dc:creator>
  <cp:lastModifiedBy>ASUS</cp:lastModifiedBy>
  <dcterms:modified xsi:type="dcterms:W3CDTF">2019-08-30T02:32:17Z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