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50" w:line="240" w:lineRule="auto"/>
        <w:ind w:left="0" w:leftChars="0" w:right="0" w:rightChars="0" w:firstLine="0"/>
        <w:jc w:val="left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化学与精细化工广东省实验室潮州分中心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80" w:lineRule="exact"/>
        <w:ind w:left="0" w:leftChars="0" w:right="0" w:rightChars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岗位表</w:t>
      </w:r>
      <w:bookmarkStart w:id="0" w:name="_GoBack"/>
      <w:bookmarkEnd w:id="0"/>
    </w:p>
    <w:tbl>
      <w:tblPr>
        <w:tblStyle w:val="5"/>
        <w:tblW w:w="9750" w:type="dxa"/>
        <w:tblInd w:w="-4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870"/>
        <w:gridCol w:w="557"/>
        <w:gridCol w:w="3658"/>
        <w:gridCol w:w="3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位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数</w:t>
            </w:r>
          </w:p>
        </w:tc>
        <w:tc>
          <w:tcPr>
            <w:tcW w:w="36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室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资料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负责办公室公文资料、新闻宣传等材料的起草和校对；负责文件上报和发送。</w:t>
            </w:r>
          </w:p>
        </w:tc>
        <w:tc>
          <w:tcPr>
            <w:tcW w:w="37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 周岁以下，全日制本科及以上学历。文字功底好，具备较强的文字综合及沟通协调能力者优先。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管理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负责人事档案及合同管理；负责人事调配及专业技术岗位管理；负责薪酬及社会保障管理。</w:t>
            </w:r>
          </w:p>
        </w:tc>
        <w:tc>
          <w:tcPr>
            <w:tcW w:w="37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 周岁以下，全日制本科及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负责会计工作；配合做好内外部审计；负责工资福利及各项费用的核算等工作。</w:t>
            </w:r>
          </w:p>
        </w:tc>
        <w:tc>
          <w:tcPr>
            <w:tcW w:w="37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 周岁以下，全日制本科及以上学历。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vertAlign w:val="baseline"/>
                <w:lang w:val="en-US" w:eastAsia="zh-CN"/>
              </w:rPr>
              <w:t>有会计从业资格证、各类会计师证书者优先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出纳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6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负责日常现金、支票、票据的收付、保管及费用报销。</w:t>
            </w:r>
          </w:p>
        </w:tc>
        <w:tc>
          <w:tcPr>
            <w:tcW w:w="372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 周岁以下，全日制本科及以上学历。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25253"/>
    <w:rsid w:val="6AB252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411" w:lineRule="exact"/>
      <w:ind w:left="1267"/>
      <w:outlineLvl w:val="2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2019-08-29T10:02:00Z</dcterms:created>
  <dc:creator>Administrator</dc:creator>
  <cp:lastModifiedBy>Administrator</cp:lastModifiedBy>
  <dcterms:modified xsi:type="dcterms:W3CDTF">2019-08-29T10:03:24Z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