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华文仿宋" w:eastAsia="黑体" w:cs="黑体"/>
          <w:sz w:val="28"/>
          <w:szCs w:val="28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ascii="黑体" w:hAnsi="华文仿宋" w:eastAsia="黑体" w:cs="黑体"/>
          <w:sz w:val="28"/>
          <w:szCs w:val="28"/>
        </w:rPr>
        <w:t>3</w:t>
      </w:r>
    </w:p>
    <w:p>
      <w:pPr>
        <w:spacing w:line="360" w:lineRule="auto"/>
        <w:jc w:val="center"/>
        <w:rPr>
          <w:rFonts w:ascii="方正小标宋简体" w:hAnsi="华文仿宋" w:eastAsia="方正小标宋简体"/>
          <w:sz w:val="44"/>
          <w:szCs w:val="44"/>
        </w:rPr>
      </w:pP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tbl>
      <w:tblPr>
        <w:tblStyle w:val="4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22"/>
        <w:gridCol w:w="992"/>
        <w:gridCol w:w="356"/>
        <w:gridCol w:w="1004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二级建造师执业资格考试</w:t>
            </w:r>
          </w:p>
        </w:tc>
        <w:tc>
          <w:tcPr>
            <w:tcW w:w="13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2019年度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此表一式二份，下载后通过电子文档处理填写完成</w:t>
      </w:r>
      <w:r>
        <w:rPr>
          <w:rFonts w:ascii="仿宋_GB2312" w:hAnsi="华文仿宋" w:eastAsia="仿宋_GB2312" w:cs="仿宋_GB2312"/>
          <w:sz w:val="28"/>
          <w:szCs w:val="28"/>
        </w:rPr>
        <w:t>(</w:t>
      </w:r>
      <w:r>
        <w:rPr>
          <w:rFonts w:hint="eastAsia" w:ascii="仿宋_GB2312" w:hAnsi="华文仿宋" w:eastAsia="仿宋_GB2312" w:cs="仿宋_GB2312"/>
          <w:sz w:val="28"/>
          <w:szCs w:val="28"/>
        </w:rPr>
        <w:t>手工填写无效</w:t>
      </w:r>
      <w:r>
        <w:rPr>
          <w:rFonts w:ascii="仿宋_GB2312" w:hAnsi="华文仿宋" w:eastAsia="仿宋_GB2312" w:cs="仿宋_GB2312"/>
          <w:sz w:val="28"/>
          <w:szCs w:val="28"/>
        </w:rPr>
        <w:t>)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spacing w:line="400" w:lineRule="exact"/>
        <w:rPr>
          <w:rFonts w:ascii="仿宋_GB2312" w:hAnsi="华文仿宋" w:eastAsia="仿宋_GB2312" w:cs="仿宋_GB2312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  2.</w:t>
      </w:r>
      <w:r>
        <w:rPr>
          <w:rFonts w:hint="eastAsia" w:ascii="仿宋_GB2312" w:hAnsi="华文仿宋" w:eastAsia="仿宋_GB2312" w:cs="仿宋_GB2312"/>
          <w:sz w:val="28"/>
          <w:szCs w:val="28"/>
        </w:rPr>
        <w:t>考试级别、考试专业、报名序号的具体内容填写请参考本年度《准考</w:t>
      </w:r>
    </w:p>
    <w:p>
      <w:pPr>
        <w:spacing w:line="400" w:lineRule="exact"/>
        <w:ind w:left="1401" w:leftChars="467" w:hanging="420" w:hangingChars="150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证》。</w:t>
      </w:r>
    </w:p>
    <w:p>
      <w:pPr>
        <w:spacing w:line="400" w:lineRule="exact"/>
        <w:rPr>
          <w:rFonts w:ascii="仿宋_GB2312" w:hAnsi="华文仿宋" w:eastAsia="仿宋_GB2312"/>
          <w:sz w:val="28"/>
          <w:szCs w:val="28"/>
        </w:rPr>
      </w:pPr>
      <w:r>
        <w:rPr>
          <w:rFonts w:ascii="仿宋_GB2312" w:hAnsi="华文仿宋" w:eastAsia="仿宋_GB2312" w:cs="仿宋_GB2312"/>
          <w:sz w:val="28"/>
          <w:szCs w:val="28"/>
        </w:rPr>
        <w:t xml:space="preserve">      3.</w:t>
      </w:r>
      <w:r>
        <w:rPr>
          <w:rFonts w:hint="eastAsia" w:ascii="仿宋_GB2312" w:hAnsi="华文仿宋" w:eastAsia="仿宋_GB2312" w:cs="仿宋_GB2312"/>
          <w:sz w:val="28"/>
          <w:szCs w:val="28"/>
        </w:rPr>
        <w:t>专业通过年度是指全部应试科目通过的年度。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 w:cs="仿宋_GB2312"/>
          <w:sz w:val="32"/>
          <w:szCs w:val="32"/>
        </w:rPr>
        <w:t xml:space="preserve">. </w:t>
      </w:r>
      <w:r>
        <w:rPr>
          <w:rFonts w:hint="eastAsia" w:ascii="仿宋_GB2312" w:hAnsi="宋体" w:eastAsia="仿宋_GB2312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67E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.</cp:lastModifiedBy>
  <cp:lastPrinted>2019-08-08T05:41:22Z</cp:lastPrinted>
  <dcterms:modified xsi:type="dcterms:W3CDTF">2019-08-08T05:41:27Z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