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220" w:type="dxa"/>
        <w:tblInd w:w="0" w:type="dxa"/>
        <w:shd w:val="clear" w:color="auto" w:fill="FFFFF4"/>
        <w:tblLayout w:type="fixed"/>
        <w:tblCellMar>
          <w:top w:w="0" w:type="dxa"/>
          <w:left w:w="0" w:type="dxa"/>
          <w:bottom w:w="0" w:type="dxa"/>
          <w:right w:w="0" w:type="dxa"/>
        </w:tblCellMar>
      </w:tblPr>
      <w:tblGrid>
        <w:gridCol w:w="2920"/>
        <w:gridCol w:w="3020"/>
        <w:gridCol w:w="1920"/>
        <w:gridCol w:w="1060"/>
        <w:gridCol w:w="1780"/>
        <w:gridCol w:w="1520"/>
      </w:tblGrid>
      <w:tr>
        <w:tblPrEx>
          <w:tblLayout w:type="fixed"/>
          <w:tblCellMar>
            <w:top w:w="0" w:type="dxa"/>
            <w:left w:w="0" w:type="dxa"/>
            <w:bottom w:w="0" w:type="dxa"/>
            <w:right w:w="0" w:type="dxa"/>
          </w:tblCellMar>
        </w:tblPrEx>
        <w:trPr>
          <w:gridAfter w:val="5"/>
          <w:wAfter w:w="9300" w:type="dxa"/>
          <w:trHeight w:val="255" w:hRule="atLeast"/>
        </w:trPr>
        <w:tc>
          <w:tcPr>
            <w:tcW w:w="2920" w:type="dxa"/>
            <w:shd w:val="clear" w:color="auto" w:fill="FFFFF4"/>
            <w:vAlign w:val="center"/>
          </w:tcPr>
          <w:p>
            <w:pPr>
              <w:jc w:val="left"/>
              <w:rPr>
                <w:rFonts w:hint="eastAsia" w:ascii="微软雅黑" w:hAnsi="微软雅黑" w:eastAsia="微软雅黑" w:cs="微软雅黑"/>
                <w:i w:val="0"/>
                <w:caps w:val="0"/>
                <w:color w:val="000000"/>
                <w:spacing w:val="0"/>
                <w:sz w:val="16"/>
                <w:szCs w:val="16"/>
              </w:rPr>
            </w:pPr>
          </w:p>
        </w:tc>
      </w:tr>
      <w:tr>
        <w:tblPrEx>
          <w:shd w:val="clear" w:color="auto" w:fill="FFFFF4"/>
          <w:tblLayout w:type="fixed"/>
          <w:tblCellMar>
            <w:top w:w="0" w:type="dxa"/>
            <w:left w:w="0" w:type="dxa"/>
            <w:bottom w:w="0" w:type="dxa"/>
            <w:right w:w="0" w:type="dxa"/>
          </w:tblCellMar>
        </w:tblPrEx>
        <w:trPr>
          <w:trHeight w:val="840" w:hRule="atLeast"/>
        </w:trPr>
        <w:tc>
          <w:tcPr>
            <w:tcW w:w="12220" w:type="dxa"/>
            <w:gridSpan w:val="6"/>
            <w:tcBorders>
              <w:top w:val="nil"/>
              <w:left w:val="nil"/>
              <w:bottom w:val="nil"/>
              <w:right w:val="nil"/>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ascii="cursive" w:hAnsi="cursive" w:eastAsia="cursive" w:cs="cursive"/>
                <w:i w:val="0"/>
                <w:caps w:val="0"/>
                <w:color w:val="auto"/>
                <w:spacing w:val="0"/>
                <w:sz w:val="36"/>
                <w:szCs w:val="36"/>
                <w:u w:val="none"/>
              </w:rPr>
            </w:pPr>
            <w:r>
              <w:rPr>
                <w:rFonts w:hint="default" w:ascii="cursive" w:hAnsi="cursive" w:eastAsia="cursive" w:cs="cursive"/>
                <w:i w:val="0"/>
                <w:caps w:val="0"/>
                <w:color w:val="auto"/>
                <w:spacing w:val="0"/>
                <w:kern w:val="0"/>
                <w:sz w:val="36"/>
                <w:szCs w:val="36"/>
                <w:u w:val="none"/>
                <w:bdr w:val="none" w:color="auto" w:sz="0" w:space="0"/>
                <w:lang w:val="en-US" w:eastAsia="zh-CN" w:bidi="ar"/>
              </w:rPr>
              <w:t>青田县机关事业单位公开选调工作人员核减或取消选调计划情况公示</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single" w:color="auto" w:sz="4" w:space="0"/>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主管单位</w:t>
            </w:r>
          </w:p>
        </w:tc>
        <w:tc>
          <w:tcPr>
            <w:tcW w:w="3020" w:type="dxa"/>
            <w:tcBorders>
              <w:top w:val="single" w:color="auto" w:sz="4" w:space="0"/>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招考单位</w:t>
            </w:r>
          </w:p>
        </w:tc>
        <w:tc>
          <w:tcPr>
            <w:tcW w:w="1920" w:type="dxa"/>
            <w:tcBorders>
              <w:top w:val="single" w:color="auto" w:sz="4" w:space="0"/>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选调职位名称</w:t>
            </w:r>
          </w:p>
        </w:tc>
        <w:tc>
          <w:tcPr>
            <w:tcW w:w="1060" w:type="dxa"/>
            <w:tcBorders>
              <w:top w:val="single" w:color="auto" w:sz="4" w:space="0"/>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选调</w:t>
            </w:r>
            <w:r>
              <w:rPr>
                <w:rFonts w:hint="eastAsia" w:ascii="宋体" w:hAnsi="宋体" w:eastAsia="宋体" w:cs="宋体"/>
                <w:b/>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b/>
                <w:i w:val="0"/>
                <w:caps w:val="0"/>
                <w:color w:val="000000"/>
                <w:spacing w:val="0"/>
                <w:kern w:val="0"/>
                <w:sz w:val="20"/>
                <w:szCs w:val="20"/>
                <w:u w:val="none"/>
                <w:bdr w:val="none" w:color="auto" w:sz="0" w:space="0"/>
                <w:lang w:val="en-US" w:eastAsia="zh-CN" w:bidi="ar"/>
              </w:rPr>
              <w:t>计划数</w:t>
            </w:r>
          </w:p>
        </w:tc>
        <w:tc>
          <w:tcPr>
            <w:tcW w:w="1780" w:type="dxa"/>
            <w:tcBorders>
              <w:top w:val="single" w:color="auto" w:sz="4" w:space="0"/>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核减或取消选调计划</w:t>
            </w:r>
          </w:p>
        </w:tc>
        <w:tc>
          <w:tcPr>
            <w:tcW w:w="1520" w:type="dxa"/>
            <w:tcBorders>
              <w:top w:val="single" w:color="auto" w:sz="4" w:space="0"/>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b/>
                <w:i w:val="0"/>
                <w:caps w:val="0"/>
                <w:color w:val="000000"/>
                <w:spacing w:val="0"/>
                <w:sz w:val="20"/>
                <w:szCs w:val="20"/>
                <w:u w:val="none"/>
              </w:rPr>
            </w:pPr>
            <w:r>
              <w:rPr>
                <w:rFonts w:hint="eastAsia" w:ascii="宋体" w:hAnsi="宋体" w:eastAsia="宋体" w:cs="宋体"/>
                <w:b/>
                <w:i w:val="0"/>
                <w:caps w:val="0"/>
                <w:color w:val="000000"/>
                <w:spacing w:val="0"/>
                <w:kern w:val="0"/>
                <w:sz w:val="20"/>
                <w:szCs w:val="20"/>
                <w:u w:val="none"/>
                <w:bdr w:val="none" w:color="auto" w:sz="0" w:space="0"/>
                <w:lang w:val="en-US" w:eastAsia="zh-CN" w:bidi="ar"/>
              </w:rPr>
              <w:t>核减或取消后剩余计划数</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青田县市场监督管理局</w:t>
            </w:r>
          </w:p>
        </w:tc>
        <w:tc>
          <w:tcPr>
            <w:tcW w:w="30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青田县北山市场监督管理所</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市场执法</w:t>
            </w:r>
          </w:p>
        </w:tc>
        <w:tc>
          <w:tcPr>
            <w:tcW w:w="106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青田县应急管理局</w:t>
            </w:r>
          </w:p>
        </w:tc>
        <w:tc>
          <w:tcPr>
            <w:tcW w:w="30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青田县安全生产监察大队</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安全生产</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青田县农业农村局</w:t>
            </w:r>
          </w:p>
        </w:tc>
        <w:tc>
          <w:tcPr>
            <w:tcW w:w="30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青田县农业行政执法大队</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农业执法</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核减1个选调计划数</w:t>
            </w:r>
          </w:p>
        </w:tc>
        <w:tc>
          <w:tcPr>
            <w:tcW w:w="15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青田县自然资源和规划局</w:t>
            </w:r>
          </w:p>
        </w:tc>
        <w:tc>
          <w:tcPr>
            <w:tcW w:w="30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青田县自然资源监察大队</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青田县鹤城街道办事处</w:t>
            </w:r>
          </w:p>
        </w:tc>
        <w:tc>
          <w:tcPr>
            <w:tcW w:w="30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青田县鹤城街道办事处</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青田县油竹街道办事处</w:t>
            </w:r>
          </w:p>
        </w:tc>
        <w:tc>
          <w:tcPr>
            <w:tcW w:w="30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青田县油竹街道办事处</w:t>
            </w:r>
          </w:p>
        </w:tc>
        <w:tc>
          <w:tcPr>
            <w:tcW w:w="19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丽水市环境保护局青田分局</w:t>
            </w:r>
          </w:p>
        </w:tc>
        <w:tc>
          <w:tcPr>
            <w:tcW w:w="30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青田县环境监察大队</w:t>
            </w:r>
          </w:p>
        </w:tc>
        <w:tc>
          <w:tcPr>
            <w:tcW w:w="19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青田县大数据发展中心</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青田县大数据发展中心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计算机技术岗</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青田县交通运输局</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青田县交通战备服务中心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文秘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青田县发改局</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青田县能源管理中心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青田县审计局</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青田县内部审计指导中心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工作人员2</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vMerge w:val="restart"/>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青田县自然资源和规划局</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青田县测绘和规划编制中心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vMerge w:val="continue"/>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jc w:val="center"/>
              <w:rPr>
                <w:rFonts w:hint="eastAsia" w:ascii="宋体" w:hAnsi="宋体" w:eastAsia="宋体" w:cs="宋体"/>
                <w:i w:val="0"/>
                <w:caps w:val="0"/>
                <w:color w:val="000000"/>
                <w:spacing w:val="0"/>
                <w:sz w:val="20"/>
                <w:szCs w:val="20"/>
                <w:u w:val="none"/>
              </w:rPr>
            </w:pP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青田县县矿产资源储备中心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青田县住房和建设局</w:t>
            </w:r>
          </w:p>
        </w:tc>
        <w:tc>
          <w:tcPr>
            <w:tcW w:w="302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青田县建设工程质量监督站</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监督员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青田县人武部</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青田县人武部</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青田县农业农村局</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青田县农业文化推广中心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青田县政府房屋征收工作办公室</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青田县政府房屋征收工作办公室</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青田县瓯南街道办事处</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便民服务中心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青田县油竹街道办事处</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社会事务服务中心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720" w:hRule="atLeast"/>
        </w:trPr>
        <w:tc>
          <w:tcPr>
            <w:tcW w:w="2920" w:type="dxa"/>
            <w:tcBorders>
              <w:top w:val="nil"/>
              <w:left w:val="single" w:color="auto" w:sz="4" w:space="0"/>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青田县三溪口街道办事处</w:t>
            </w:r>
          </w:p>
        </w:tc>
        <w:tc>
          <w:tcPr>
            <w:tcW w:w="30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社会事务服务中心</w:t>
            </w:r>
          </w:p>
        </w:tc>
        <w:tc>
          <w:tcPr>
            <w:tcW w:w="19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工作人员</w:t>
            </w:r>
          </w:p>
        </w:tc>
        <w:tc>
          <w:tcPr>
            <w:tcW w:w="1060" w:type="dxa"/>
            <w:tcBorders>
              <w:top w:val="nil"/>
              <w:left w:val="nil"/>
              <w:bottom w:val="single" w:color="auto" w:sz="4" w:space="0"/>
              <w:right w:val="single" w:color="auto" w:sz="4" w:space="0"/>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178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取消选调计划</w:t>
            </w:r>
          </w:p>
        </w:tc>
        <w:tc>
          <w:tcPr>
            <w:tcW w:w="1520" w:type="dxa"/>
            <w:tcBorders>
              <w:top w:val="nil"/>
              <w:left w:val="nil"/>
              <w:bottom w:val="single" w:color="auto" w:sz="4" w:space="0"/>
              <w:right w:val="single" w:color="auto" w:sz="4" w:space="0"/>
            </w:tcBorders>
            <w:shd w:val="clear" w:color="auto" w:fill="FFFFF4"/>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0</w:t>
            </w:r>
          </w:p>
        </w:tc>
      </w:tr>
      <w:tr>
        <w:tblPrEx>
          <w:shd w:val="clear" w:color="auto" w:fill="FFFFF4"/>
          <w:tblLayout w:type="fixed"/>
          <w:tblCellMar>
            <w:top w:w="0" w:type="dxa"/>
            <w:left w:w="0" w:type="dxa"/>
            <w:bottom w:w="0" w:type="dxa"/>
            <w:right w:w="0" w:type="dxa"/>
          </w:tblCellMar>
        </w:tblPrEx>
        <w:trPr>
          <w:trHeight w:val="255" w:hRule="atLeast"/>
        </w:trPr>
        <w:tc>
          <w:tcPr>
            <w:tcW w:w="2920" w:type="dxa"/>
            <w:tcBorders>
              <w:top w:val="nil"/>
              <w:left w:val="nil"/>
              <w:bottom w:val="nil"/>
              <w:right w:val="nil"/>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 </w:t>
            </w:r>
          </w:p>
        </w:tc>
        <w:tc>
          <w:tcPr>
            <w:tcW w:w="3020" w:type="dxa"/>
            <w:tcBorders>
              <w:top w:val="nil"/>
              <w:left w:val="nil"/>
              <w:bottom w:val="nil"/>
              <w:right w:val="nil"/>
            </w:tcBorders>
            <w:shd w:val="clear" w:color="auto" w:fill="FFFFF4"/>
            <w:noWrap/>
            <w:tcMar>
              <w:top w:w="12" w:type="dxa"/>
              <w:left w:w="12" w:type="dxa"/>
              <w:right w:w="12" w:type="dxa"/>
            </w:tcMar>
            <w:vAlign w:val="bottom"/>
          </w:tcPr>
          <w:p>
            <w:pPr>
              <w:keepNext w:val="0"/>
              <w:keepLines w:val="0"/>
              <w:widowControl/>
              <w:suppressLineNumbers w:val="0"/>
              <w:spacing w:line="300" w:lineRule="atLeast"/>
              <w:ind w:left="0" w:firstLine="0"/>
              <w:jc w:val="left"/>
              <w:textAlignment w:val="bottom"/>
              <w:rPr>
                <w:rFonts w:ascii="Verdana" w:hAnsi="Verdana" w:eastAsia="微软雅黑" w:cs="Verdana"/>
                <w:i w:val="0"/>
                <w:caps w:val="0"/>
                <w:color w:val="000000"/>
                <w:spacing w:val="0"/>
                <w:sz w:val="24"/>
                <w:szCs w:val="24"/>
                <w:u w:val="none"/>
              </w:rPr>
            </w:pPr>
            <w:r>
              <w:rPr>
                <w:rFonts w:hint="default" w:ascii="Verdana" w:hAnsi="Verdana" w:eastAsia="微软雅黑" w:cs="Verdana"/>
                <w:i w:val="0"/>
                <w:caps w:val="0"/>
                <w:color w:val="000000"/>
                <w:spacing w:val="0"/>
                <w:kern w:val="0"/>
                <w:sz w:val="24"/>
                <w:szCs w:val="24"/>
                <w:u w:val="none"/>
                <w:bdr w:val="none" w:color="auto" w:sz="0" w:space="0"/>
                <w:lang w:val="en-US" w:eastAsia="zh-CN" w:bidi="ar"/>
              </w:rPr>
              <w:t> </w:t>
            </w:r>
          </w:p>
        </w:tc>
        <w:tc>
          <w:tcPr>
            <w:tcW w:w="1920" w:type="dxa"/>
            <w:tcBorders>
              <w:top w:val="nil"/>
              <w:left w:val="nil"/>
              <w:bottom w:val="nil"/>
              <w:right w:val="nil"/>
            </w:tcBorders>
            <w:shd w:val="clear" w:color="auto" w:fill="FFFFF4"/>
            <w:noWrap/>
            <w:tcMar>
              <w:top w:w="12" w:type="dxa"/>
              <w:left w:w="12" w:type="dxa"/>
              <w:right w:w="12" w:type="dxa"/>
            </w:tcMar>
            <w:vAlign w:val="bottom"/>
          </w:tcPr>
          <w:p>
            <w:pPr>
              <w:keepNext w:val="0"/>
              <w:keepLines w:val="0"/>
              <w:widowControl/>
              <w:suppressLineNumbers w:val="0"/>
              <w:spacing w:line="300" w:lineRule="atLeast"/>
              <w:ind w:left="0" w:firstLine="0"/>
              <w:jc w:val="center"/>
              <w:textAlignment w:val="bottom"/>
              <w:rPr>
                <w:rFonts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 </w:t>
            </w:r>
          </w:p>
        </w:tc>
        <w:tc>
          <w:tcPr>
            <w:tcW w:w="1060" w:type="dxa"/>
            <w:tcBorders>
              <w:top w:val="nil"/>
              <w:left w:val="nil"/>
              <w:bottom w:val="nil"/>
              <w:right w:val="nil"/>
            </w:tcBorders>
            <w:shd w:val="clear" w:color="auto" w:fill="FFFFF4"/>
            <w:noWrap/>
            <w:tcMar>
              <w:top w:w="12" w:type="dxa"/>
              <w:left w:w="12" w:type="dxa"/>
              <w:right w:w="12" w:type="dxa"/>
            </w:tcMar>
            <w:vAlign w:val="bottom"/>
          </w:tcPr>
          <w:p>
            <w:pPr>
              <w:keepNext w:val="0"/>
              <w:keepLines w:val="0"/>
              <w:widowControl/>
              <w:suppressLineNumbers w:val="0"/>
              <w:spacing w:line="300" w:lineRule="atLeast"/>
              <w:ind w:left="0" w:firstLine="0"/>
              <w:jc w:val="left"/>
              <w:textAlignment w:val="bottom"/>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 </w:t>
            </w:r>
          </w:p>
        </w:tc>
        <w:tc>
          <w:tcPr>
            <w:tcW w:w="1780" w:type="dxa"/>
            <w:tcBorders>
              <w:top w:val="nil"/>
              <w:left w:val="nil"/>
              <w:bottom w:val="nil"/>
              <w:right w:val="nil"/>
            </w:tcBorders>
            <w:shd w:val="clear" w:color="auto" w:fill="FFFFF4"/>
            <w:tcMar>
              <w:top w:w="12" w:type="dxa"/>
              <w:left w:w="12" w:type="dxa"/>
              <w:right w:w="12" w:type="dxa"/>
            </w:tcMar>
            <w:vAlign w:val="bottom"/>
          </w:tcPr>
          <w:p>
            <w:pPr>
              <w:keepNext w:val="0"/>
              <w:keepLines w:val="0"/>
              <w:widowControl/>
              <w:suppressLineNumbers w:val="0"/>
              <w:spacing w:line="300" w:lineRule="atLeast"/>
              <w:ind w:left="0" w:firstLine="0"/>
              <w:jc w:val="left"/>
              <w:textAlignment w:val="bottom"/>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 </w:t>
            </w:r>
          </w:p>
        </w:tc>
        <w:tc>
          <w:tcPr>
            <w:tcW w:w="1520" w:type="dxa"/>
            <w:tcBorders>
              <w:top w:val="nil"/>
              <w:left w:val="nil"/>
              <w:bottom w:val="nil"/>
              <w:right w:val="nil"/>
            </w:tcBorders>
            <w:shd w:val="clear" w:color="auto" w:fill="FFFFF4"/>
            <w:noWrap/>
            <w:tcMar>
              <w:top w:w="12" w:type="dxa"/>
              <w:left w:w="12" w:type="dxa"/>
              <w:right w:w="12" w:type="dxa"/>
            </w:tcMar>
            <w:vAlign w:val="bottom"/>
          </w:tcPr>
          <w:p>
            <w:pPr>
              <w:keepNext w:val="0"/>
              <w:keepLines w:val="0"/>
              <w:widowControl/>
              <w:suppressLineNumbers w:val="0"/>
              <w:spacing w:line="300" w:lineRule="atLeast"/>
              <w:ind w:left="0" w:firstLine="0"/>
              <w:jc w:val="left"/>
              <w:textAlignment w:val="bottom"/>
              <w:rPr>
                <w:rFonts w:hint="default" w:ascii="Arial" w:hAnsi="Arial" w:eastAsia="微软雅黑" w:cs="Arial"/>
                <w:i w:val="0"/>
                <w:caps w:val="0"/>
                <w:color w:val="000000"/>
                <w:spacing w:val="0"/>
                <w:sz w:val="20"/>
                <w:szCs w:val="20"/>
                <w:u w:val="none"/>
              </w:rPr>
            </w:pPr>
            <w:r>
              <w:rPr>
                <w:rFonts w:hint="default" w:ascii="Arial" w:hAnsi="Arial" w:eastAsia="微软雅黑" w:cs="Arial"/>
                <w:i w:val="0"/>
                <w:caps w:val="0"/>
                <w:color w:val="000000"/>
                <w:spacing w:val="0"/>
                <w:kern w:val="0"/>
                <w:sz w:val="20"/>
                <w:szCs w:val="20"/>
                <w:u w:val="none"/>
                <w:bdr w:val="none" w:color="auto" w:sz="0" w:space="0"/>
                <w:lang w:val="en-US" w:eastAsia="zh-CN" w:bidi="ar"/>
              </w:rPr>
              <w:t> </w:t>
            </w:r>
          </w:p>
        </w:tc>
      </w:tr>
      <w:tr>
        <w:tblPrEx>
          <w:tblLayout w:type="fixed"/>
          <w:tblCellMar>
            <w:top w:w="0" w:type="dxa"/>
            <w:left w:w="0" w:type="dxa"/>
            <w:bottom w:w="0" w:type="dxa"/>
            <w:right w:w="0" w:type="dxa"/>
          </w:tblCellMar>
        </w:tblPrEx>
        <w:trPr>
          <w:trHeight w:val="255" w:hRule="atLeast"/>
        </w:trPr>
        <w:tc>
          <w:tcPr>
            <w:tcW w:w="2920" w:type="dxa"/>
            <w:tcBorders>
              <w:top w:val="nil"/>
              <w:left w:val="nil"/>
              <w:bottom w:val="nil"/>
              <w:right w:val="nil"/>
            </w:tcBorders>
            <w:shd w:val="clear" w:color="auto" w:fill="FFFFF4"/>
            <w:noWrap/>
            <w:tcMar>
              <w:top w:w="12" w:type="dxa"/>
              <w:left w:w="12" w:type="dxa"/>
              <w:right w:w="12" w:type="dxa"/>
            </w:tcMar>
            <w:vAlign w:val="center"/>
          </w:tcPr>
          <w:p>
            <w:pPr>
              <w:keepNext w:val="0"/>
              <w:keepLines w:val="0"/>
              <w:widowControl/>
              <w:suppressLineNumbers w:val="0"/>
              <w:spacing w:line="300" w:lineRule="atLeast"/>
              <w:ind w:lef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 </w:t>
            </w:r>
          </w:p>
        </w:tc>
        <w:tc>
          <w:tcPr>
            <w:tcW w:w="9300" w:type="dxa"/>
            <w:gridSpan w:val="5"/>
            <w:vMerge w:val="restart"/>
            <w:tcBorders>
              <w:top w:val="nil"/>
              <w:left w:val="nil"/>
              <w:bottom w:val="nil"/>
              <w:right w:val="nil"/>
            </w:tcBorders>
            <w:shd w:val="clear" w:color="auto" w:fill="FFFFF4"/>
            <w:tcMar>
              <w:top w:w="12" w:type="dxa"/>
              <w:left w:w="12" w:type="dxa"/>
              <w:right w:w="12" w:type="dxa"/>
            </w:tcMar>
            <w:vAlign w:val="bottom"/>
          </w:tcPr>
          <w:p>
            <w:pPr>
              <w:jc w:val="right"/>
              <w:rPr>
                <w:rFonts w:hint="eastAsia" w:ascii="宋体" w:hAnsi="宋体" w:eastAsia="宋体" w:cs="宋体"/>
                <w:i w:val="0"/>
                <w:caps w:val="0"/>
                <w:color w:val="000000"/>
                <w:spacing w:val="0"/>
                <w:sz w:val="24"/>
                <w:szCs w:val="24"/>
                <w:u w:val="none"/>
              </w:rPr>
            </w:pPr>
          </w:p>
        </w:tc>
      </w:tr>
      <w:tr>
        <w:tblPrEx>
          <w:tblLayout w:type="fixed"/>
          <w:tblCellMar>
            <w:top w:w="0" w:type="dxa"/>
            <w:left w:w="0" w:type="dxa"/>
            <w:bottom w:w="0" w:type="dxa"/>
            <w:right w:w="0" w:type="dxa"/>
          </w:tblCellMar>
        </w:tblPrEx>
        <w:trPr>
          <w:trHeight w:val="255" w:hRule="atLeast"/>
        </w:trPr>
        <w:tc>
          <w:tcPr>
            <w:tcW w:w="2920" w:type="dxa"/>
            <w:shd w:val="clear" w:color="auto" w:fill="FFFFF4"/>
            <w:vAlign w:val="center"/>
          </w:tcPr>
          <w:p>
            <w:pPr>
              <w:jc w:val="left"/>
              <w:rPr>
                <w:rFonts w:hint="eastAsia" w:ascii="微软雅黑" w:hAnsi="微软雅黑" w:eastAsia="微软雅黑" w:cs="微软雅黑"/>
                <w:i w:val="0"/>
                <w:caps w:val="0"/>
                <w:color w:val="000000"/>
                <w:spacing w:val="0"/>
                <w:sz w:val="16"/>
                <w:szCs w:val="16"/>
              </w:rPr>
            </w:pPr>
          </w:p>
        </w:tc>
        <w:tc>
          <w:tcPr>
            <w:tcW w:w="9300" w:type="dxa"/>
            <w:gridSpan w:val="5"/>
            <w:vMerge w:val="continue"/>
            <w:tcBorders>
              <w:top w:val="nil"/>
              <w:left w:val="nil"/>
              <w:bottom w:val="nil"/>
              <w:right w:val="nil"/>
            </w:tcBorders>
            <w:shd w:val="clear" w:color="auto" w:fill="FFFFF4"/>
            <w:tcMar>
              <w:top w:w="12" w:type="dxa"/>
              <w:left w:w="12" w:type="dxa"/>
              <w:right w:w="12" w:type="dxa"/>
            </w:tcMar>
            <w:vAlign w:val="bottom"/>
          </w:tcPr>
          <w:p>
            <w:pPr>
              <w:jc w:val="right"/>
              <w:rPr>
                <w:rFonts w:hint="eastAsia" w:ascii="宋体" w:hAnsi="宋体" w:eastAsia="宋体" w:cs="宋体"/>
                <w:i w:val="0"/>
                <w:caps w:val="0"/>
                <w:color w:val="000000"/>
                <w:spacing w:val="0"/>
                <w:sz w:val="24"/>
                <w:szCs w:val="24"/>
                <w:u w:val="none"/>
              </w:rPr>
            </w:pPr>
          </w:p>
        </w:tc>
      </w:tr>
    </w:tbl>
    <w:p>
      <w:pPr>
        <w:keepNext w:val="0"/>
        <w:keepLines w:val="0"/>
        <w:widowControl/>
        <w:suppressLineNumbers w:val="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35279"/>
    <w:rsid w:val="4013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2019-08-24T05:19:00Z</dcterms:created>
  <dc:creator>张翠</dc:creator>
  <cp:lastModifiedBy>张翠</cp:lastModifiedBy>
  <dcterms:modified xsi:type="dcterms:W3CDTF">2019-08-24T05:20:01Z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