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1400" w:lineRule="exact"/>
        <w:ind w:left="-359" w:leftChars="-171" w:right="-540" w:rightChars="-257" w:firstLine="351" w:firstLineChars="24"/>
        <w:jc w:val="center"/>
        <w:rPr>
          <w:rFonts w:hint="eastAsia" w:ascii="华文中宋" w:hAnsi="宋体" w:eastAsia="华文中宋" w:cs="宋体"/>
          <w:b/>
          <w:color w:val="FF0000"/>
          <w:spacing w:val="-48"/>
          <w:w w:val="92"/>
          <w:sz w:val="124"/>
          <w:szCs w:val="72"/>
        </w:rPr>
      </w:pPr>
      <w:r>
        <w:rPr>
          <w:rFonts w:hint="eastAsia" w:ascii="华文中宋" w:hAnsi="宋体" w:eastAsia="华文中宋" w:cs="宋体"/>
          <w:b/>
          <w:color w:val="FF0000"/>
          <w:spacing w:val="111"/>
          <w:sz w:val="124"/>
          <w:szCs w:val="72"/>
          <w:fitText w:val="8563" w:id="0"/>
        </w:rPr>
        <w:t>常宁市教育</w:t>
      </w:r>
      <w:r>
        <w:rPr>
          <w:rFonts w:hint="eastAsia" w:ascii="华文中宋" w:hAnsi="宋体" w:eastAsia="华文中宋" w:cs="宋体"/>
          <w:b/>
          <w:color w:val="FF0000"/>
          <w:spacing w:val="3"/>
          <w:sz w:val="124"/>
          <w:szCs w:val="72"/>
          <w:fitText w:val="8563" w:id="0"/>
        </w:rPr>
        <w:t>局</w:t>
      </w:r>
    </w:p>
    <w:p>
      <w:pPr>
        <w:spacing w:line="440" w:lineRule="exact"/>
        <w:ind w:firstLine="600" w:firstLineChars="200"/>
        <w:jc w:val="center"/>
        <w:rPr>
          <w:rFonts w:hint="eastAsia" w:ascii="仿宋_GB2312" w:hAnsi="仿宋_GB2312" w:eastAsia="仿宋_GB2312" w:cs="仿宋_GB2312"/>
          <w:sz w:val="30"/>
          <w:szCs w:val="30"/>
        </w:rPr>
      </w:pPr>
    </w:p>
    <w:p>
      <w:pPr>
        <w:spacing w:line="300" w:lineRule="exact"/>
        <w:ind w:firstLine="600" w:firstLineChars="200"/>
        <w:jc w:val="center"/>
        <w:rPr>
          <w:rFonts w:hint="eastAsia" w:ascii="仿宋_GB2312" w:hAnsi="仿宋_GB2312" w:eastAsia="仿宋_GB2312" w:cs="仿宋_GB2312"/>
          <w:color w:val="DCE6F2"/>
          <w:sz w:val="30"/>
          <w:szCs w:val="30"/>
        </w:rPr>
      </w:pPr>
    </w:p>
    <w:p>
      <w:pPr>
        <w:pStyle w:val="4"/>
        <w:spacing w:line="560" w:lineRule="atLeast"/>
        <w:jc w:val="center"/>
        <w:rPr>
          <w:rFonts w:hint="eastAsia" w:ascii="黑体" w:eastAsia="黑体"/>
          <w:sz w:val="32"/>
          <w:szCs w:val="32"/>
        </w:rPr>
      </w:pPr>
      <w:r>
        <w:drawing>
          <wp:inline distT="0" distB="0" distL="114300" distR="114300">
            <wp:extent cx="5725160" cy="40005"/>
            <wp:effectExtent l="0" t="0" r="8890" b="17145"/>
            <wp:docPr id="1" name="图片 1" descr="wps_clip_image-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_clip_image-3720"/>
                    <pic:cNvPicPr>
                      <a:picLocks noChangeAspect="1"/>
                    </pic:cNvPicPr>
                  </pic:nvPicPr>
                  <pic:blipFill>
                    <a:blip r:embed="rId4"/>
                    <a:stretch>
                      <a:fillRect/>
                    </a:stretch>
                  </pic:blipFill>
                  <pic:spPr>
                    <a:xfrm>
                      <a:off x="0" y="0"/>
                      <a:ext cx="5725160" cy="40005"/>
                    </a:xfrm>
                    <a:prstGeom prst="rect">
                      <a:avLst/>
                    </a:prstGeom>
                    <a:noFill/>
                    <a:ln w="9525">
                      <a:noFill/>
                    </a:ln>
                  </pic:spPr>
                </pic:pic>
              </a:graphicData>
            </a:graphic>
          </wp:inline>
        </w:drawing>
      </w:r>
    </w:p>
    <w:p>
      <w:pPr>
        <w:pStyle w:val="4"/>
        <w:spacing w:line="360" w:lineRule="exact"/>
        <w:ind w:left="-359" w:leftChars="-171" w:right="-540" w:rightChars="-257"/>
        <w:jc w:val="center"/>
        <w:rPr>
          <w:rFonts w:hint="eastAsia" w:ascii="宋体" w:hAnsi="宋体" w:cs="宋体"/>
          <w:b/>
          <w:color w:val="FF0000"/>
          <w:sz w:val="18"/>
          <w:szCs w:val="18"/>
        </w:rPr>
      </w:pPr>
    </w:p>
    <w:p>
      <w:pPr>
        <w:ind w:firstLine="640" w:firstLineChars="200"/>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2019年常宁市新招聘的特岗教师选岗、签约工作方案</w:t>
      </w:r>
    </w:p>
    <w:p>
      <w:pPr>
        <w:ind w:firstLine="560" w:firstLineChars="200"/>
        <w:rPr>
          <w:rFonts w:hint="eastAsia"/>
          <w:sz w:val="28"/>
          <w:szCs w:val="28"/>
          <w:lang w:val="en-US" w:eastAsia="zh-CN"/>
        </w:rPr>
      </w:pPr>
      <w:r>
        <w:rPr>
          <w:rFonts w:hint="eastAsia"/>
          <w:sz w:val="28"/>
          <w:szCs w:val="28"/>
          <w:lang w:val="en-US" w:eastAsia="zh-CN"/>
        </w:rPr>
        <w:t>根据【</w:t>
      </w:r>
      <w:r>
        <w:rPr>
          <w:rFonts w:eastAsia="仿宋_GB2312"/>
          <w:kern w:val="0"/>
          <w:sz w:val="28"/>
          <w:szCs w:val="28"/>
        </w:rPr>
        <w:t>湘</w:t>
      </w:r>
      <w:r>
        <w:rPr>
          <w:rFonts w:hint="eastAsia"/>
          <w:sz w:val="28"/>
          <w:szCs w:val="28"/>
          <w:lang w:val="en-US" w:eastAsia="zh-CN"/>
        </w:rPr>
        <w:t>教发〔2019〕9号】《湖南省农村义务教育阶段学校教师特设岗位计划招聘办法》文件精神，结合常宁工作实际，特制订2019年常宁市新招聘的特岗教师选岗、签约工作方案。</w:t>
      </w:r>
    </w:p>
    <w:p>
      <w:pPr>
        <w:numPr>
          <w:ilvl w:val="0"/>
          <w:numId w:val="1"/>
        </w:numPr>
        <w:ind w:left="560" w:leftChars="0" w:firstLine="0" w:firstLineChars="0"/>
        <w:rPr>
          <w:rFonts w:hint="eastAsia"/>
          <w:sz w:val="28"/>
          <w:szCs w:val="28"/>
          <w:lang w:val="en-US" w:eastAsia="zh-CN"/>
        </w:rPr>
      </w:pPr>
      <w:r>
        <w:rPr>
          <w:rFonts w:hint="eastAsia"/>
          <w:sz w:val="28"/>
          <w:szCs w:val="28"/>
          <w:lang w:val="en-US" w:eastAsia="zh-CN"/>
        </w:rPr>
        <w:t>工作小组</w:t>
      </w:r>
    </w:p>
    <w:p>
      <w:pPr>
        <w:numPr>
          <w:ilvl w:val="0"/>
          <w:numId w:val="0"/>
        </w:numPr>
        <w:ind w:left="560" w:leftChars="0"/>
        <w:rPr>
          <w:rFonts w:hint="eastAsia"/>
          <w:sz w:val="28"/>
          <w:szCs w:val="28"/>
          <w:lang w:val="en-US" w:eastAsia="zh-CN"/>
        </w:rPr>
      </w:pPr>
      <w:r>
        <w:rPr>
          <w:rFonts w:hint="eastAsia"/>
          <w:sz w:val="28"/>
          <w:szCs w:val="28"/>
          <w:lang w:val="en-US" w:eastAsia="zh-CN"/>
        </w:rPr>
        <w:t>组  长：封红伟</w:t>
      </w:r>
    </w:p>
    <w:p>
      <w:pPr>
        <w:numPr>
          <w:ilvl w:val="0"/>
          <w:numId w:val="0"/>
        </w:numPr>
        <w:ind w:left="560" w:leftChars="0"/>
        <w:rPr>
          <w:rFonts w:hint="eastAsia"/>
          <w:sz w:val="28"/>
          <w:szCs w:val="28"/>
          <w:lang w:val="en-US" w:eastAsia="zh-CN"/>
        </w:rPr>
      </w:pPr>
      <w:r>
        <w:rPr>
          <w:rFonts w:hint="eastAsia"/>
          <w:sz w:val="28"/>
          <w:szCs w:val="28"/>
          <w:lang w:val="en-US" w:eastAsia="zh-CN"/>
        </w:rPr>
        <w:t>副组长：欧和平  李国宝  伍志芳  滕仲春</w:t>
      </w:r>
    </w:p>
    <w:p>
      <w:pPr>
        <w:numPr>
          <w:ilvl w:val="0"/>
          <w:numId w:val="0"/>
        </w:numPr>
        <w:ind w:left="560" w:leftChars="0"/>
        <w:rPr>
          <w:rFonts w:hint="eastAsia"/>
          <w:sz w:val="28"/>
          <w:szCs w:val="28"/>
          <w:lang w:val="en-US" w:eastAsia="zh-CN"/>
        </w:rPr>
      </w:pPr>
      <w:r>
        <w:rPr>
          <w:rFonts w:hint="eastAsia"/>
          <w:sz w:val="28"/>
          <w:szCs w:val="28"/>
          <w:lang w:val="en-US" w:eastAsia="zh-CN"/>
        </w:rPr>
        <w:t>成  员：教师工作股全体成员  黄天明  胡彦新  张羽</w:t>
      </w:r>
    </w:p>
    <w:p>
      <w:pPr>
        <w:numPr>
          <w:ilvl w:val="0"/>
          <w:numId w:val="1"/>
        </w:numPr>
        <w:ind w:left="560" w:leftChars="0" w:firstLine="0" w:firstLineChars="0"/>
        <w:rPr>
          <w:rFonts w:hint="eastAsia"/>
          <w:sz w:val="28"/>
          <w:szCs w:val="28"/>
          <w:lang w:val="en-US" w:eastAsia="zh-CN"/>
        </w:rPr>
      </w:pPr>
      <w:r>
        <w:rPr>
          <w:rFonts w:hint="eastAsia"/>
          <w:sz w:val="28"/>
          <w:szCs w:val="28"/>
          <w:lang w:val="en-US" w:eastAsia="zh-CN"/>
        </w:rPr>
        <w:t>选岗签约对象：2019年常宁市新招聘的110名特岗教师</w:t>
      </w:r>
    </w:p>
    <w:p>
      <w:pPr>
        <w:numPr>
          <w:ilvl w:val="0"/>
          <w:numId w:val="1"/>
        </w:numPr>
        <w:ind w:left="560" w:leftChars="0" w:firstLine="0" w:firstLineChars="0"/>
        <w:rPr>
          <w:rFonts w:hint="eastAsia"/>
          <w:sz w:val="28"/>
          <w:szCs w:val="28"/>
          <w:lang w:val="en-US" w:eastAsia="zh-CN"/>
        </w:rPr>
      </w:pPr>
      <w:r>
        <w:rPr>
          <w:rFonts w:hint="eastAsia"/>
          <w:sz w:val="28"/>
          <w:szCs w:val="28"/>
          <w:lang w:val="en-US" w:eastAsia="zh-CN"/>
        </w:rPr>
        <w:t>选岗签约时间：2019年8月26日下午3:00</w:t>
      </w:r>
    </w:p>
    <w:p>
      <w:pPr>
        <w:numPr>
          <w:ilvl w:val="0"/>
          <w:numId w:val="1"/>
        </w:numPr>
        <w:ind w:left="560" w:leftChars="0" w:firstLine="0" w:firstLineChars="0"/>
        <w:rPr>
          <w:rFonts w:hint="eastAsia"/>
          <w:sz w:val="28"/>
          <w:szCs w:val="28"/>
          <w:lang w:val="en-US" w:eastAsia="zh-CN"/>
        </w:rPr>
      </w:pPr>
      <w:r>
        <w:rPr>
          <w:rFonts w:hint="eastAsia"/>
          <w:sz w:val="28"/>
          <w:szCs w:val="28"/>
          <w:lang w:val="en-US" w:eastAsia="zh-CN"/>
        </w:rPr>
        <w:t>选岗签约地点：常宁市教师进修学校多功能学术报告厅</w:t>
      </w:r>
    </w:p>
    <w:p>
      <w:pPr>
        <w:numPr>
          <w:ilvl w:val="0"/>
          <w:numId w:val="1"/>
        </w:numPr>
        <w:ind w:left="560" w:leftChars="0" w:firstLine="0" w:firstLineChars="0"/>
        <w:rPr>
          <w:rFonts w:hint="eastAsia"/>
          <w:sz w:val="28"/>
          <w:szCs w:val="28"/>
          <w:lang w:val="en-US" w:eastAsia="zh-CN"/>
        </w:rPr>
      </w:pPr>
      <w:r>
        <w:rPr>
          <w:rFonts w:hint="eastAsia"/>
          <w:sz w:val="28"/>
          <w:szCs w:val="28"/>
          <w:lang w:val="en-US" w:eastAsia="zh-CN"/>
        </w:rPr>
        <w:t>选岗的办法和程序</w:t>
      </w:r>
    </w:p>
    <w:p>
      <w:pPr>
        <w:spacing w:line="560" w:lineRule="exact"/>
        <w:ind w:firstLine="548" w:firstLineChars="196"/>
        <w:rPr>
          <w:rFonts w:hint="eastAsia"/>
          <w:sz w:val="28"/>
          <w:szCs w:val="28"/>
          <w:lang w:val="en-US" w:eastAsia="zh-CN"/>
        </w:rPr>
      </w:pPr>
      <w:r>
        <w:rPr>
          <w:rFonts w:hint="eastAsia"/>
          <w:sz w:val="28"/>
          <w:szCs w:val="28"/>
          <w:lang w:val="en-US" w:eastAsia="zh-CN"/>
        </w:rPr>
        <w:t>设岗县根据省教育厅提供的拟聘用人员成绩，分直接志愿录取和征集志愿录取两个批次，分学段分学科依据总成绩从高分到低分的顺序由拟聘用人员在已公布的招聘岗位中选定聘用岗位。</w:t>
      </w:r>
    </w:p>
    <w:p>
      <w:pPr>
        <w:numPr>
          <w:ilvl w:val="0"/>
          <w:numId w:val="1"/>
        </w:numPr>
        <w:ind w:left="560" w:leftChars="0" w:firstLine="0" w:firstLineChars="0"/>
        <w:rPr>
          <w:rFonts w:hint="eastAsia"/>
          <w:sz w:val="28"/>
          <w:szCs w:val="28"/>
          <w:lang w:val="en-US" w:eastAsia="zh-CN"/>
        </w:rPr>
      </w:pPr>
      <w:r>
        <w:rPr>
          <w:rFonts w:hint="eastAsia"/>
          <w:sz w:val="28"/>
          <w:szCs w:val="28"/>
          <w:lang w:val="en-US" w:eastAsia="zh-CN"/>
        </w:rPr>
        <w:t>工作纪律与要求</w:t>
      </w:r>
    </w:p>
    <w:p>
      <w:pPr>
        <w:numPr>
          <w:ilvl w:val="0"/>
          <w:numId w:val="0"/>
        </w:numPr>
        <w:ind w:firstLine="560" w:firstLineChars="200"/>
        <w:rPr>
          <w:rFonts w:hint="default"/>
          <w:sz w:val="28"/>
          <w:szCs w:val="28"/>
          <w:lang w:val="en-US" w:eastAsia="zh-CN"/>
          <w14:textFill>
            <w14:gradFill>
              <w14:gsLst>
                <w14:gs w14:pos="0">
                  <w14:srgbClr w14:val="012D86"/>
                </w14:gs>
                <w14:gs w14:pos="100000">
                  <w14:srgbClr w14:val="0E2557"/>
                </w14:gs>
              </w14:gsLst>
              <w14:lin w14:scaled="0"/>
            </w14:gradFill>
          </w14:textFill>
        </w:rPr>
      </w:pPr>
      <w:r>
        <w:rPr>
          <w:rFonts w:hint="eastAsia"/>
          <w:sz w:val="28"/>
          <w:szCs w:val="28"/>
          <w:lang w:val="en-US" w:eastAsia="zh-CN"/>
        </w:rPr>
        <w:t>1.坚持资格把关从严的原则。</w:t>
      </w:r>
      <w:r>
        <w:rPr>
          <w:rFonts w:hint="eastAsia"/>
          <w:sz w:val="28"/>
          <w:szCs w:val="28"/>
          <w:lang w:val="en-US" w:eastAsia="zh-CN"/>
          <w14:textFill>
            <w14:gradFill>
              <w14:gsLst>
                <w14:gs w14:pos="0">
                  <w14:srgbClr w14:val="012D86"/>
                </w14:gs>
                <w14:gs w14:pos="100000">
                  <w14:srgbClr w14:val="0E2557"/>
                </w14:gs>
              </w14:gsLst>
              <w14:lin w14:scaled="0"/>
            </w14:gradFill>
          </w14:textFill>
        </w:rPr>
        <w:t>凭教师资格证、相关层次毕业证和存档证明选岗、签约。任缺一样不得选岗、签约。</w:t>
      </w:r>
    </w:p>
    <w:p>
      <w:pPr>
        <w:numPr>
          <w:ilvl w:val="0"/>
          <w:numId w:val="0"/>
        </w:numPr>
        <w:ind w:firstLine="560" w:firstLineChars="200"/>
        <w:rPr>
          <w:rFonts w:hint="eastAsia"/>
          <w:sz w:val="28"/>
          <w:szCs w:val="28"/>
          <w:lang w:val="en-US" w:eastAsia="zh-CN"/>
        </w:rPr>
      </w:pPr>
      <w:r>
        <w:rPr>
          <w:rFonts w:hint="eastAsia"/>
          <w:sz w:val="28"/>
          <w:szCs w:val="28"/>
          <w:lang w:val="en-US" w:eastAsia="zh-CN"/>
        </w:rPr>
        <w:t>2.坚持公平公正的原则，实行现场选岗、现场签约。允许带一名且只带一名亲人参加选岗。不签约者不得参加岗前培训，所有人的签约限8月27日下午五点以前完成。</w:t>
      </w:r>
    </w:p>
    <w:p>
      <w:pPr>
        <w:numPr>
          <w:ilvl w:val="0"/>
          <w:numId w:val="0"/>
        </w:numPr>
        <w:ind w:firstLine="560" w:firstLineChars="200"/>
        <w:rPr>
          <w:rFonts w:hint="eastAsia"/>
          <w:sz w:val="28"/>
          <w:szCs w:val="28"/>
          <w:lang w:val="en-US" w:eastAsia="zh-CN"/>
        </w:rPr>
      </w:pPr>
      <w:r>
        <w:rPr>
          <w:rFonts w:hint="eastAsia"/>
          <w:sz w:val="28"/>
          <w:szCs w:val="28"/>
          <w:lang w:val="en-US" w:eastAsia="zh-CN"/>
        </w:rPr>
        <w:t>3.坚持人文关怀的原则，现场选岗后双方自愿对换岗位的，经双方申请履行签字后可以换岗。</w:t>
      </w: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r>
        <w:rPr>
          <w:rFonts w:hint="eastAsia"/>
          <w:sz w:val="28"/>
          <w:szCs w:val="28"/>
          <w:lang w:val="en-US" w:eastAsia="zh-CN"/>
        </w:rPr>
        <w:t>【附件1】2019年常宁市新招聘的特岗教师名单（110人）</w:t>
      </w:r>
    </w:p>
    <w:p>
      <w:pPr>
        <w:numPr>
          <w:ilvl w:val="0"/>
          <w:numId w:val="0"/>
        </w:numPr>
        <w:rPr>
          <w:rFonts w:hint="default"/>
          <w:sz w:val="28"/>
          <w:szCs w:val="28"/>
          <w:lang w:val="en-US" w:eastAsia="zh-CN"/>
        </w:rPr>
      </w:pPr>
      <w:r>
        <w:rPr>
          <w:rFonts w:hint="eastAsia"/>
          <w:sz w:val="28"/>
          <w:szCs w:val="28"/>
          <w:lang w:val="en-US" w:eastAsia="zh-CN"/>
        </w:rPr>
        <w:t>【附件2】2019年常宁市特岗计划招聘岗位设置表</w:t>
      </w:r>
    </w:p>
    <w:p>
      <w:pPr>
        <w:numPr>
          <w:ilvl w:val="0"/>
          <w:numId w:val="0"/>
        </w:numPr>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eastAsia"/>
          <w:sz w:val="28"/>
          <w:szCs w:val="28"/>
          <w:lang w:val="en-US" w:eastAsia="zh-CN"/>
        </w:rPr>
      </w:pPr>
      <w:r>
        <w:rPr>
          <w:rFonts w:hint="eastAsia"/>
          <w:sz w:val="28"/>
          <w:szCs w:val="28"/>
          <w:lang w:val="en-US" w:eastAsia="zh-CN"/>
        </w:rPr>
        <w:t xml:space="preserve">                               常宁市教育局</w:t>
      </w:r>
    </w:p>
    <w:p>
      <w:pPr>
        <w:numPr>
          <w:ilvl w:val="0"/>
          <w:numId w:val="0"/>
        </w:numPr>
        <w:ind w:firstLine="560" w:firstLineChars="200"/>
        <w:rPr>
          <w:rFonts w:hint="default"/>
          <w:sz w:val="28"/>
          <w:szCs w:val="28"/>
          <w:lang w:val="en-US" w:eastAsia="zh-CN"/>
        </w:rPr>
      </w:pPr>
      <w:r>
        <w:rPr>
          <w:rFonts w:hint="eastAsia"/>
          <w:sz w:val="28"/>
          <w:szCs w:val="28"/>
          <w:lang w:val="en-US" w:eastAsia="zh-CN"/>
        </w:rPr>
        <w:t xml:space="preserve">                              2019年8月22日</w:t>
      </w:r>
    </w:p>
    <w:p>
      <w:pPr>
        <w:numPr>
          <w:ilvl w:val="0"/>
          <w:numId w:val="0"/>
        </w:numPr>
        <w:rPr>
          <w:rFonts w:hint="default"/>
          <w:sz w:val="28"/>
          <w:szCs w:val="28"/>
          <w:lang w:val="en-US" w:eastAsia="zh-CN"/>
        </w:rPr>
      </w:pPr>
    </w:p>
    <w:p>
      <w:pPr>
        <w:numPr>
          <w:ilvl w:val="0"/>
          <w:numId w:val="0"/>
        </w:numPr>
        <w:ind w:left="560" w:leftChars="0"/>
        <w:rPr>
          <w:rFonts w:hint="default"/>
          <w:sz w:val="28"/>
          <w:szCs w:val="28"/>
          <w:lang w:val="en-US" w:eastAsia="zh-CN"/>
        </w:rPr>
      </w:pPr>
    </w:p>
    <w:p>
      <w:pPr>
        <w:numPr>
          <w:ilvl w:val="0"/>
          <w:numId w:val="0"/>
        </w:numPr>
        <w:ind w:left="560" w:leftChars="0"/>
        <w:rPr>
          <w:rFonts w:hint="default"/>
          <w:sz w:val="28"/>
          <w:szCs w:val="28"/>
          <w:lang w:val="en-US" w:eastAsia="zh-CN"/>
        </w:rPr>
      </w:pPr>
      <w:r>
        <w:rPr>
          <w:rFonts w:hint="eastAsia"/>
          <w:sz w:val="28"/>
          <w:szCs w:val="28"/>
          <w:lang w:val="en-US" w:eastAsia="zh-CN"/>
        </w:rPr>
        <w:t xml:space="preserve"> </w:t>
      </w:r>
    </w:p>
    <w:p>
      <w:pPr>
        <w:ind w:firstLine="560" w:firstLineChars="200"/>
        <w:rPr>
          <w:rFonts w:hint="default"/>
          <w:sz w:val="28"/>
          <w:szCs w:val="28"/>
          <w:lang w:val="en-US" w:eastAsia="zh-CN"/>
        </w:rPr>
      </w:pPr>
    </w:p>
    <w:p>
      <w:pPr>
        <w:ind w:firstLine="560" w:firstLineChars="200"/>
        <w:rPr>
          <w:rFonts w:hint="default"/>
          <w:sz w:val="28"/>
          <w:szCs w:val="28"/>
          <w:lang w:val="en-US" w:eastAsia="zh-CN"/>
        </w:rPr>
      </w:pPr>
    </w:p>
    <w:p>
      <w:pPr>
        <w:ind w:firstLine="560" w:firstLineChars="200"/>
        <w:rPr>
          <w:rFonts w:hint="default"/>
          <w:sz w:val="28"/>
          <w:szCs w:val="28"/>
          <w:lang w:val="en-US" w:eastAsia="zh-CN"/>
        </w:rPr>
      </w:pPr>
    </w:p>
    <w:p>
      <w:pPr>
        <w:ind w:firstLine="560" w:firstLineChars="200"/>
        <w:rPr>
          <w:rFonts w:hint="default"/>
          <w:sz w:val="28"/>
          <w:szCs w:val="28"/>
          <w:lang w:val="en-US" w:eastAsia="zh-CN"/>
        </w:rPr>
      </w:pPr>
    </w:p>
    <w:p>
      <w:pPr>
        <w:ind w:firstLine="560" w:firstLineChars="200"/>
        <w:rPr>
          <w:rFonts w:hint="default"/>
          <w:sz w:val="28"/>
          <w:szCs w:val="28"/>
          <w:lang w:val="en-US" w:eastAsia="zh-CN"/>
        </w:rPr>
      </w:pPr>
    </w:p>
    <w:p>
      <w:pPr>
        <w:rPr>
          <w:rFonts w:hint="default"/>
          <w:sz w:val="28"/>
          <w:szCs w:val="28"/>
          <w:lang w:val="en-US" w:eastAsia="zh-CN"/>
        </w:rPr>
      </w:pPr>
    </w:p>
    <w:tbl>
      <w:tblPr>
        <w:tblStyle w:val="2"/>
        <w:tblW w:w="8790" w:type="dxa"/>
        <w:tblInd w:w="0" w:type="dxa"/>
        <w:shd w:val="clear" w:color="auto" w:fill="auto"/>
        <w:tblLayout w:type="fixed"/>
        <w:tblCellMar>
          <w:top w:w="0" w:type="dxa"/>
          <w:left w:w="0" w:type="dxa"/>
          <w:bottom w:w="0" w:type="dxa"/>
          <w:right w:w="0" w:type="dxa"/>
        </w:tblCellMar>
      </w:tblPr>
      <w:tblGrid>
        <w:gridCol w:w="625"/>
        <w:gridCol w:w="625"/>
        <w:gridCol w:w="1207"/>
        <w:gridCol w:w="1207"/>
        <w:gridCol w:w="625"/>
        <w:gridCol w:w="625"/>
        <w:gridCol w:w="916"/>
        <w:gridCol w:w="916"/>
        <w:gridCol w:w="625"/>
        <w:gridCol w:w="1419"/>
      </w:tblGrid>
      <w:tr>
        <w:tblPrEx>
          <w:shd w:val="clear" w:color="auto" w:fill="auto"/>
          <w:tblLayout w:type="fixed"/>
          <w:tblCellMar>
            <w:top w:w="0" w:type="dxa"/>
            <w:left w:w="0" w:type="dxa"/>
            <w:bottom w:w="0" w:type="dxa"/>
            <w:right w:w="0" w:type="dxa"/>
          </w:tblCellMar>
        </w:tblPrEx>
        <w:trPr>
          <w:trHeight w:val="780" w:hRule="atLeast"/>
        </w:trPr>
        <w:tc>
          <w:tcPr>
            <w:tcW w:w="8790" w:type="dxa"/>
            <w:gridSpan w:val="10"/>
            <w:tcBorders>
              <w:top w:val="nil"/>
              <w:left w:val="nil"/>
              <w:bottom w:val="nil"/>
              <w:right w:val="nil"/>
            </w:tcBorders>
            <w:shd w:val="clear" w:color="auto" w:fill="auto"/>
            <w:noWrap/>
            <w:tcMar>
              <w:top w:w="15" w:type="dxa"/>
              <w:left w:w="15" w:type="dxa"/>
              <w:right w:w="15" w:type="dxa"/>
            </w:tcMar>
            <w:vAlign w:val="center"/>
          </w:tcPr>
          <w:p>
            <w:pPr>
              <w:numPr>
                <w:ilvl w:val="0"/>
                <w:numId w:val="0"/>
              </w:numPr>
              <w:rPr>
                <w:rFonts w:hint="eastAsia"/>
                <w:sz w:val="28"/>
                <w:szCs w:val="28"/>
                <w:lang w:val="en-US" w:eastAsia="zh-CN"/>
              </w:rPr>
            </w:pPr>
            <w:r>
              <w:rPr>
                <w:rFonts w:hint="eastAsia"/>
                <w:sz w:val="28"/>
                <w:szCs w:val="28"/>
                <w:lang w:val="en-US" w:eastAsia="zh-CN"/>
              </w:rPr>
              <w:t>【附件1】2019年常宁市新招聘的特岗教师名单（110人）</w:t>
            </w:r>
          </w:p>
          <w:p>
            <w:pPr>
              <w:keepNext w:val="0"/>
              <w:keepLines w:val="0"/>
              <w:widowControl/>
              <w:suppressLineNumbers w:val="0"/>
              <w:jc w:val="center"/>
              <w:textAlignment w:val="center"/>
              <w:rPr>
                <w:rFonts w:ascii="黑体" w:hAnsi="宋体" w:eastAsia="黑体" w:cs="黑体"/>
                <w:b/>
                <w:i w:val="0"/>
                <w:color w:val="000000"/>
                <w:sz w:val="24"/>
                <w:szCs w:val="24"/>
                <w:u w:val="none"/>
              </w:rPr>
            </w:pPr>
          </w:p>
        </w:tc>
      </w:tr>
      <w:tr>
        <w:tblPrEx>
          <w:tblLayout w:type="fixed"/>
          <w:tblCellMar>
            <w:top w:w="0" w:type="dxa"/>
            <w:left w:w="0" w:type="dxa"/>
            <w:bottom w:w="0" w:type="dxa"/>
            <w:right w:w="0" w:type="dxa"/>
          </w:tblCellMar>
        </w:tblPrEx>
        <w:trPr>
          <w:trHeight w:val="78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学段</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姓名</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性别</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学科选岗排名</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总分</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录取</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  注</w:t>
            </w:r>
          </w:p>
        </w:tc>
      </w:tr>
      <w:tr>
        <w:tblPrEx>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邓亮</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94.09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汪斌</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92.14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陈利平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91.679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刘玉兰</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91.051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曹辉</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90.889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张广萍</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89.96</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陈巧荣</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74.937</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贾一凡</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69.913</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廖曦</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67.308</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肖雅臻</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81.129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李瑶</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77.921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易文婷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83.642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郭丹</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77.437</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杨春慧</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82.592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袁丹</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86.8</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李珍</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84.225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廖水兰</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83.725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邓窈</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82.325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殷超成</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82.324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廖小桂</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81.174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廖旋</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80.675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余渊辉</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77.624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吴娟</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75.399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胡瑶</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81.876</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段怡洁</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81.75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罗斯琪</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81.226</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邹巧</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81.099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蒋惠群</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80.901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80.101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李静</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79.069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刘娟</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78.851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余霜霜</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78.349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邹娟</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77.225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第二批</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曾敏</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李先兴</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75.849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廖济民</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67.499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39</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肖潇雨</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38</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张可迪</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76.95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谢海燕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w:t>
            </w:r>
            <w:bookmarkStart w:id="0" w:name="_GoBack"/>
            <w:bookmarkEnd w:id="0"/>
            <w:r>
              <w:rPr>
                <w:rFonts w:hint="eastAsia" w:ascii="宋体" w:hAnsi="宋体" w:eastAsia="宋体" w:cs="宋体"/>
                <w:i w:val="0"/>
                <w:color w:val="000000"/>
                <w:kern w:val="0"/>
                <w:sz w:val="20"/>
                <w:szCs w:val="20"/>
                <w:u w:val="none"/>
                <w:lang w:val="en-US" w:eastAsia="zh-CN" w:bidi="ar"/>
              </w:rPr>
              <w:t>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秦香兰</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李倩</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87.701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李媛媛</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86.151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廖常乐</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81.949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张晶</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81.701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刘镁</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81.201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刘群</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80.3</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周嫦丰</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79.899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吕琳慧</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79.249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尹丹</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79.101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刘若兰</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78.85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朱丽</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尹婷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77.601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刘群</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76.949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黄珍</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76.849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王姣</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76.351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雷丽</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76.101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何洋</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75.651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张瑞媛</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75.599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625"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刘美莲</w:t>
            </w:r>
          </w:p>
        </w:tc>
        <w:tc>
          <w:tcPr>
            <w:tcW w:w="625"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916"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75.399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现场抽签定序</w:t>
            </w: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625"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刘怡敏</w:t>
            </w:r>
          </w:p>
        </w:tc>
        <w:tc>
          <w:tcPr>
            <w:tcW w:w="625"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16"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75.399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陈黄婷仪</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74.649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陈辉巧</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74.05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刘小凤</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73.301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72.699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陈丽娟</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71.85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廖胤</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89.341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贺淑珍</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88.25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张诗怡</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88.06</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肖鹏</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87.911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毛新智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87.791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谭亚妮</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83.7</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82.599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曹灵芝</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82.311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唐运芝</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80.149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吴琪</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78.839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方红辉</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77.75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徐立珂</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77.641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彭怡</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73.969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谭露</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71.33</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吴楠</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69.451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王秋霞</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68.769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奉丽华</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84.349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郭慧艳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吴桂香</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78.825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王希平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78.799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詹慧</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78.349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袁辉兰</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75.376</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章文婕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74.999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刘月琴</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74.399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74.376</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廖欢</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73.474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刘力</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69.8</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贺爱军</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84.65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周娜</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82.699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8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李增霞</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79.45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8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黄梦秋</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壮族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李凌霜</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73.551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杨明珠</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73.401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李奕辰</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71.901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詹祁旺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70.749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黄喆</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68.45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龙丽</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67.851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范磊</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颜李军</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潘铁银</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64.65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侗族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刘柯</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62.199</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贺源</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62.151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特殊教育</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肖艺</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71.742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直录</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汉族</w:t>
            </w:r>
          </w:p>
        </w:tc>
        <w:tc>
          <w:tcPr>
            <w:tcW w:w="14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tbl>
      <w:tblPr>
        <w:tblStyle w:val="2"/>
        <w:tblW w:w="8445" w:type="dxa"/>
        <w:tblInd w:w="0" w:type="dxa"/>
        <w:shd w:val="clear" w:color="auto" w:fill="auto"/>
        <w:tblLayout w:type="fixed"/>
        <w:tblCellMar>
          <w:top w:w="0" w:type="dxa"/>
          <w:left w:w="0" w:type="dxa"/>
          <w:bottom w:w="0" w:type="dxa"/>
          <w:right w:w="0" w:type="dxa"/>
        </w:tblCellMar>
      </w:tblPr>
      <w:tblGrid>
        <w:gridCol w:w="525"/>
        <w:gridCol w:w="2700"/>
        <w:gridCol w:w="1155"/>
        <w:gridCol w:w="1155"/>
        <w:gridCol w:w="1125"/>
        <w:gridCol w:w="630"/>
        <w:gridCol w:w="1155"/>
      </w:tblGrid>
      <w:tr>
        <w:tblPrEx>
          <w:shd w:val="clear" w:color="auto" w:fill="auto"/>
          <w:tblLayout w:type="fixed"/>
          <w:tblCellMar>
            <w:top w:w="0" w:type="dxa"/>
            <w:left w:w="0" w:type="dxa"/>
            <w:bottom w:w="0" w:type="dxa"/>
            <w:right w:w="0" w:type="dxa"/>
          </w:tblCellMar>
        </w:tblPrEx>
        <w:trPr>
          <w:trHeight w:val="660" w:hRule="atLeast"/>
        </w:trPr>
        <w:tc>
          <w:tcPr>
            <w:tcW w:w="8445" w:type="dxa"/>
            <w:gridSpan w:val="7"/>
            <w:tcBorders>
              <w:top w:val="nil"/>
              <w:left w:val="nil"/>
              <w:bottom w:val="nil"/>
              <w:right w:val="nil"/>
            </w:tcBorders>
            <w:shd w:val="clear" w:color="auto" w:fill="auto"/>
            <w:noWrap/>
            <w:tcMar>
              <w:top w:w="15" w:type="dxa"/>
              <w:left w:w="15" w:type="dxa"/>
              <w:right w:w="15" w:type="dxa"/>
            </w:tcMar>
            <w:vAlign w:val="center"/>
          </w:tcPr>
          <w:p>
            <w:pPr>
              <w:numPr>
                <w:ilvl w:val="0"/>
                <w:numId w:val="0"/>
              </w:numPr>
              <w:rPr>
                <w:rFonts w:hint="default"/>
                <w:sz w:val="28"/>
                <w:szCs w:val="28"/>
                <w:lang w:val="en-US" w:eastAsia="zh-CN"/>
              </w:rPr>
            </w:pPr>
            <w:r>
              <w:rPr>
                <w:rFonts w:hint="eastAsia"/>
                <w:sz w:val="28"/>
                <w:szCs w:val="28"/>
                <w:lang w:val="en-US" w:eastAsia="zh-CN"/>
              </w:rPr>
              <w:t>【附件2】2019年常宁市特岗计划招聘岗位设置表</w:t>
            </w:r>
          </w:p>
          <w:p>
            <w:pPr>
              <w:keepNext w:val="0"/>
              <w:keepLines w:val="0"/>
              <w:widowControl/>
              <w:suppressLineNumbers w:val="0"/>
              <w:jc w:val="center"/>
              <w:textAlignment w:val="center"/>
              <w:rPr>
                <w:rFonts w:ascii="黑体" w:hAnsi="宋体" w:eastAsia="黑体" w:cs="黑体"/>
                <w:i w:val="0"/>
                <w:color w:val="000000"/>
                <w:sz w:val="28"/>
                <w:szCs w:val="28"/>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序号</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学校名称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学校类型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学段</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学科名称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招聘人数（人）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备 注</w:t>
            </w:r>
          </w:p>
        </w:tc>
      </w:tr>
      <w:tr>
        <w:tblPrEx>
          <w:tblLayout w:type="fixed"/>
          <w:tblCellMar>
            <w:top w:w="0" w:type="dxa"/>
            <w:left w:w="0" w:type="dxa"/>
            <w:bottom w:w="0" w:type="dxa"/>
            <w:right w:w="0" w:type="dxa"/>
          </w:tblCellMar>
        </w:tblPrEx>
        <w:trPr>
          <w:trHeight w:val="480" w:hRule="atLeast"/>
        </w:trPr>
        <w:tc>
          <w:tcPr>
            <w:tcW w:w="66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合          计</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板桥镇中心学校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洋泉镇东山中学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塔山瑶族乡中心学校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官岭镇富贵学校（初中部）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大堡乡到湖中学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新河镇中心学校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官岭镇鹅院学校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洋泉镇中心学校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大堡乡中心学校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蓬塘乡中心学校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烟洲镇中心学校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烟洲镇中心学校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13</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荫田镇龙门学校（初中部）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14</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庙前镇中心学校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蓬塘乡田尾中学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三角塘镇瑶塘学校（初中部）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17</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三角塘镇盐湖中学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18</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西岭镇中心学校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19</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西岭镇双安中学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白沙镇中心学校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21</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罗桥镇中心学校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22</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板桥镇中心学校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23</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板桥镇樟塘学校（初中部）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24</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胜桥镇大塘中学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25</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洋泉镇中心学校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26</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洋泉镇东桥中学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27</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白沙镇阳加中学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28</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兰江乡中心学校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29</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官岭镇富贵学校（初中部）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30</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大堡乡中心学校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31</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新河镇江河学校（初中部）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32</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荫田镇衡头学校（初中部）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33</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白沙镇中心学校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34</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烟洲镇中心学校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35</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大堡乡到湖中学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36</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白沙镇中心学校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37</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胜桥镇大塘中学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38</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三角塘镇中心学校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39</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白沙镇阳加中学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40</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洋泉镇中心学校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41</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蓬塘乡田尾完小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42</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水口山镇松阳完小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43</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水口山镇三香完小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44</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烟洲镇新力完小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45</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荫田镇衡头学校（小学部）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46</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三角塘镇盐湖完小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47</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西岭镇中心小学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48</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西岭镇双安完小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49</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西岭镇平安完小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白沙镇中心小学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51</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白沙镇茭河完小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52</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罗桥镇中心小学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53</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板桥镇中心小学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54</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洋泉镇中心小学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55</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洋泉镇洋泉完小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56</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洋泉镇兴源完小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57</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塔山瑶族乡狮园完小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58</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兰江乡兰江完小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59</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兰江乡金源完小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60</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官岭镇鹅院学校（小学部）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61</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新河镇中心小学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62</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蓬塘乡中心小学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63</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蓬塘乡田尾完小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64</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水口山镇大渔完小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65</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荫田镇衡头学校（小学部）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66</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荫田镇龙门学校（小学部）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67</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三角塘镇中心小学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68</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西岭镇中心小学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69</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西岭镇双安完小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70</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西岭镇平安完小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71</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白沙镇中心小学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72</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罗桥镇依湖完小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73</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洋泉镇东山完小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74</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洋泉镇黄洞完小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75</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兰江乡中心小学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76</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烟洲镇亲仁完小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77</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荫田镇衡头学校（小学部）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78</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荫田镇中心学校（小学部）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79</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三角塘镇盐湖完小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80</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西岭镇中心小学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81</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罗桥镇中心小学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82</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洋泉镇中心小学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83</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官岭镇中心小学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84</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新河镇双坪完小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85</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白沙镇阳加完小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86</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罗桥镇中心小学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87</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胜桥镇到塘完小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88</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荫田镇中心学校（小学部）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89</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西岭镇双安完小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庙前镇中心小学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91</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板桥镇中心小学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92</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西岭镇双安完小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93</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官岭镇富贵学校（小学部）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94</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烟洲镇亲仁完小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95</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白沙镇阳加完小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96</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罗桥镇中心小学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97</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罗桥镇汤市完小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98</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胜桥镇大塘完小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99</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洋泉镇洋泉完小</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常宁市特殊教育学校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乡镇小学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特殊教育</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bl>
    <w:p>
      <w:pP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FD8EA1"/>
    <w:multiLevelType w:val="singleLevel"/>
    <w:tmpl w:val="C5FD8EA1"/>
    <w:lvl w:ilvl="0" w:tentative="0">
      <w:start w:val="1"/>
      <w:numFmt w:val="chineseCounting"/>
      <w:suff w:val="nothing"/>
      <w:lvlText w:val="%1、"/>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23302"/>
    <w:rsid w:val="06BB76F6"/>
    <w:rsid w:val="23834394"/>
    <w:rsid w:val="28D539BC"/>
    <w:rsid w:val="2A5E03F1"/>
    <w:rsid w:val="2C7F3F10"/>
    <w:rsid w:val="2E276EFA"/>
    <w:rsid w:val="2FD50CA3"/>
    <w:rsid w:val="33E5476F"/>
    <w:rsid w:val="4C392B6B"/>
    <w:rsid w:val="56283A1C"/>
    <w:rsid w:val="5D43063A"/>
    <w:rsid w:val="5DB23302"/>
    <w:rsid w:val="5F2049E2"/>
    <w:rsid w:val="67934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2019-08-22T02:21:00Z</dcterms:created>
  <dc:creator>洞宾传人</dc:creator>
  <cp:lastModifiedBy>洞宾传人</cp:lastModifiedBy>
  <dcterms:modified xsi:type="dcterms:W3CDTF">2019-08-22T08:00:23Z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