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4C5157"/>
          <w:spacing w:val="0"/>
          <w:sz w:val="24"/>
          <w:szCs w:val="24"/>
          <w:u w:val="none"/>
        </w:rPr>
      </w:pPr>
      <w:r>
        <w:rPr>
          <w:rFonts w:ascii="方正小标宋简体" w:hAnsi="方正小标宋简体" w:eastAsia="方正小标宋简体" w:cs="方正小标宋简体"/>
          <w:b w:val="0"/>
          <w:i w:val="0"/>
          <w:caps w:val="0"/>
          <w:color w:val="000000"/>
          <w:spacing w:val="0"/>
          <w:kern w:val="0"/>
          <w:sz w:val="44"/>
          <w:szCs w:val="44"/>
          <w:u w:val="none"/>
          <w:bdr w:val="none" w:color="auto" w:sz="0" w:space="0"/>
          <w:shd w:val="clear" w:fill="FFFFFF"/>
          <w:lang w:val="en-US" w:eastAsia="zh-CN" w:bidi="ar"/>
        </w:rPr>
        <w:t>海南软件职业技术学院</w:t>
      </w:r>
      <w:r>
        <w:rPr>
          <w:rFonts w:hint="default" w:ascii="方正小标宋简体" w:hAnsi="方正小标宋简体" w:eastAsia="方正小标宋简体" w:cs="方正小标宋简体"/>
          <w:b w:val="0"/>
          <w:i w:val="0"/>
          <w:caps w:val="0"/>
          <w:color w:val="000000"/>
          <w:spacing w:val="0"/>
          <w:kern w:val="0"/>
          <w:sz w:val="44"/>
          <w:szCs w:val="44"/>
          <w:u w:val="none"/>
          <w:bdr w:val="none" w:color="auto" w:sz="0" w:space="0"/>
          <w:shd w:val="clear" w:fill="FFFFFF"/>
          <w:lang w:val="en-US" w:eastAsia="zh-CN" w:bidi="ar"/>
        </w:rPr>
        <w:t>2019年人才招聘需求计划表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4C5157"/>
          <w:spacing w:val="0"/>
          <w:sz w:val="24"/>
          <w:szCs w:val="24"/>
          <w:u w:val="none"/>
        </w:rPr>
      </w:pPr>
      <w:r>
        <w:rPr>
          <w:rFonts w:ascii="楷体_GB2312" w:hAnsi="微软雅黑" w:eastAsia="楷体_GB2312" w:cs="楷体_GB2312"/>
          <w:b w:val="0"/>
          <w:i w:val="0"/>
          <w:caps w:val="0"/>
          <w:color w:val="000000"/>
          <w:spacing w:val="0"/>
          <w:kern w:val="0"/>
          <w:sz w:val="32"/>
          <w:szCs w:val="32"/>
          <w:u w:val="none"/>
          <w:bdr w:val="none" w:color="auto" w:sz="0" w:space="0"/>
          <w:shd w:val="clear" w:fill="FFFFFF"/>
          <w:lang w:val="en-US" w:eastAsia="zh-CN" w:bidi="ar"/>
        </w:rPr>
        <w:t>（专任教师、教辅专业技术及辅导员，共</w:t>
      </w:r>
      <w:r>
        <w:rPr>
          <w:rFonts w:hint="default" w:ascii="楷体_GB2312" w:hAnsi="微软雅黑" w:eastAsia="楷体_GB2312" w:cs="楷体_GB2312"/>
          <w:b w:val="0"/>
          <w:i w:val="0"/>
          <w:caps w:val="0"/>
          <w:color w:val="000000"/>
          <w:spacing w:val="0"/>
          <w:kern w:val="0"/>
          <w:sz w:val="32"/>
          <w:szCs w:val="32"/>
          <w:u w:val="none"/>
          <w:bdr w:val="none" w:color="auto" w:sz="0" w:space="0"/>
          <w:shd w:val="clear" w:fill="FFFFFF"/>
          <w:lang w:val="en-US" w:eastAsia="zh-CN" w:bidi="ar"/>
        </w:rPr>
        <w:t>20人）</w:t>
      </w:r>
    </w:p>
    <w:tbl>
      <w:tblPr>
        <w:tblW w:w="11246" w:type="dxa"/>
        <w:tblInd w:w="215" w:type="dxa"/>
        <w:shd w:val="clear" w:color="auto" w:fill="FFFFFF"/>
        <w:tblLayout w:type="fixed"/>
        <w:tblCellMar>
          <w:top w:w="0" w:type="dxa"/>
          <w:left w:w="0" w:type="dxa"/>
          <w:bottom w:w="0" w:type="dxa"/>
          <w:right w:w="0" w:type="dxa"/>
        </w:tblCellMar>
      </w:tblPr>
      <w:tblGrid>
        <w:gridCol w:w="816"/>
        <w:gridCol w:w="1265"/>
        <w:gridCol w:w="634"/>
        <w:gridCol w:w="633"/>
        <w:gridCol w:w="1017"/>
        <w:gridCol w:w="1433"/>
        <w:gridCol w:w="968"/>
        <w:gridCol w:w="1150"/>
        <w:gridCol w:w="2630"/>
        <w:gridCol w:w="700"/>
      </w:tblGrid>
      <w:tr>
        <w:tblPrEx>
          <w:shd w:val="clear" w:color="auto" w:fill="FFFFFF"/>
          <w:tblLayout w:type="fixed"/>
        </w:tblPrEx>
        <w:trPr>
          <w:trHeight w:val="450" w:hRule="atLeast"/>
        </w:trPr>
        <w:tc>
          <w:tcPr>
            <w:tcW w:w="81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i w:val="0"/>
                <w:caps w:val="0"/>
                <w:color w:val="000000"/>
                <w:spacing w:val="0"/>
                <w:kern w:val="0"/>
                <w:sz w:val="21"/>
                <w:szCs w:val="21"/>
                <w:u w:val="none"/>
                <w:bdr w:val="none" w:color="auto" w:sz="0" w:space="0"/>
                <w:lang w:val="en-US" w:eastAsia="zh-CN" w:bidi="ar"/>
              </w:rPr>
              <w:t>部门</w:t>
            </w:r>
          </w:p>
        </w:tc>
        <w:tc>
          <w:tcPr>
            <w:tcW w:w="1265"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i w:val="0"/>
                <w:caps w:val="0"/>
                <w:color w:val="000000"/>
                <w:spacing w:val="0"/>
                <w:kern w:val="0"/>
                <w:sz w:val="21"/>
                <w:szCs w:val="21"/>
                <w:u w:val="none"/>
                <w:bdr w:val="none" w:color="auto" w:sz="0" w:space="0"/>
                <w:lang w:val="en-US" w:eastAsia="zh-CN" w:bidi="ar"/>
              </w:rPr>
              <w:t>招聘岗位</w:t>
            </w:r>
          </w:p>
        </w:tc>
        <w:tc>
          <w:tcPr>
            <w:tcW w:w="634"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i w:val="0"/>
                <w:caps w:val="0"/>
                <w:color w:val="000000"/>
                <w:spacing w:val="0"/>
                <w:kern w:val="0"/>
                <w:sz w:val="21"/>
                <w:szCs w:val="21"/>
                <w:u w:val="none"/>
                <w:bdr w:val="none" w:color="auto" w:sz="0" w:space="0"/>
                <w:lang w:val="en-US" w:eastAsia="zh-CN" w:bidi="ar"/>
              </w:rPr>
              <w:t>招聘人数</w:t>
            </w:r>
          </w:p>
        </w:tc>
        <w:tc>
          <w:tcPr>
            <w:tcW w:w="633"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i w:val="0"/>
                <w:caps w:val="0"/>
                <w:color w:val="000000"/>
                <w:spacing w:val="0"/>
                <w:kern w:val="0"/>
                <w:sz w:val="21"/>
                <w:szCs w:val="21"/>
                <w:u w:val="none"/>
                <w:bdr w:val="none" w:color="auto" w:sz="0" w:space="0"/>
                <w:lang w:val="en-US" w:eastAsia="zh-CN" w:bidi="ar"/>
              </w:rPr>
              <w:t>性别</w:t>
            </w:r>
          </w:p>
        </w:tc>
        <w:tc>
          <w:tcPr>
            <w:tcW w:w="4568"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i w:val="0"/>
                <w:caps w:val="0"/>
                <w:color w:val="000000"/>
                <w:spacing w:val="0"/>
                <w:kern w:val="0"/>
                <w:sz w:val="21"/>
                <w:szCs w:val="21"/>
                <w:u w:val="none"/>
                <w:bdr w:val="none" w:color="auto" w:sz="0" w:space="0"/>
                <w:lang w:val="en-US" w:eastAsia="zh-CN" w:bidi="ar"/>
              </w:rPr>
              <w:t>资格条件</w:t>
            </w:r>
          </w:p>
        </w:tc>
        <w:tc>
          <w:tcPr>
            <w:tcW w:w="2630"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470"/>
              </w:tabs>
              <w:spacing w:before="0" w:beforeAutospacing="0" w:after="0" w:afterAutospacing="0" w:line="300" w:lineRule="atLeast"/>
              <w:ind w:left="0" w:right="1707" w:rightChars="813"/>
              <w:jc w:val="center"/>
              <w:rPr>
                <w:u w:val="none"/>
              </w:rPr>
            </w:pPr>
            <w:r>
              <w:rPr>
                <w:rFonts w:hint="eastAsia" w:ascii="宋体" w:hAnsi="宋体" w:eastAsia="宋体" w:cs="宋体"/>
                <w:b/>
                <w:i w:val="0"/>
                <w:caps w:val="0"/>
                <w:color w:val="000000"/>
                <w:spacing w:val="0"/>
                <w:kern w:val="0"/>
                <w:sz w:val="21"/>
                <w:szCs w:val="21"/>
                <w:u w:val="none"/>
                <w:bdr w:val="none" w:color="auto" w:sz="0" w:space="0"/>
                <w:lang w:val="en-US" w:eastAsia="zh-CN" w:bidi="ar"/>
              </w:rPr>
              <w:t>岗位工作要求</w:t>
            </w:r>
          </w:p>
        </w:tc>
        <w:tc>
          <w:tcPr>
            <w:tcW w:w="700"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i w:val="0"/>
                <w:caps w:val="0"/>
                <w:color w:val="000000"/>
                <w:spacing w:val="0"/>
                <w:kern w:val="0"/>
                <w:sz w:val="21"/>
                <w:szCs w:val="21"/>
                <w:u w:val="none"/>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i w:val="0"/>
                <w:caps w:val="0"/>
                <w:color w:val="000000"/>
                <w:spacing w:val="0"/>
                <w:kern w:val="0"/>
                <w:sz w:val="21"/>
                <w:szCs w:val="21"/>
                <w:u w:val="none"/>
                <w:bdr w:val="none" w:color="auto" w:sz="0" w:space="0"/>
                <w:lang w:val="en-US" w:eastAsia="zh-CN" w:bidi="ar"/>
              </w:rPr>
              <w:t>方式</w:t>
            </w:r>
          </w:p>
        </w:tc>
      </w:tr>
      <w:tr>
        <w:tblPrEx>
          <w:tblLayout w:type="fixed"/>
          <w:tblCellMar>
            <w:top w:w="0" w:type="dxa"/>
            <w:left w:w="0" w:type="dxa"/>
            <w:bottom w:w="0" w:type="dxa"/>
            <w:right w:w="0" w:type="dxa"/>
          </w:tblCellMar>
        </w:tblPrEx>
        <w:trPr>
          <w:trHeight w:val="375" w:hRule="atLeast"/>
        </w:trPr>
        <w:tc>
          <w:tcPr>
            <w:tcW w:w="81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1"/>
                <w:szCs w:val="21"/>
                <w:u w:val="none"/>
              </w:rPr>
            </w:pPr>
          </w:p>
        </w:tc>
        <w:tc>
          <w:tcPr>
            <w:tcW w:w="1265"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1"/>
                <w:szCs w:val="21"/>
                <w:u w:val="none"/>
              </w:rPr>
            </w:pPr>
          </w:p>
        </w:tc>
        <w:tc>
          <w:tcPr>
            <w:tcW w:w="634"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1"/>
                <w:szCs w:val="21"/>
                <w:u w:val="none"/>
              </w:rPr>
            </w:pPr>
          </w:p>
        </w:tc>
        <w:tc>
          <w:tcPr>
            <w:tcW w:w="633"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1"/>
                <w:szCs w:val="21"/>
                <w:u w:val="none"/>
              </w:rPr>
            </w:pP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val="0"/>
                <w:i w:val="0"/>
                <w:caps w:val="0"/>
                <w:color w:val="000000"/>
                <w:spacing w:val="0"/>
                <w:kern w:val="0"/>
                <w:sz w:val="21"/>
                <w:szCs w:val="21"/>
                <w:u w:val="none"/>
                <w:bdr w:val="none" w:color="auto" w:sz="0" w:space="0"/>
                <w:lang w:val="en-US" w:eastAsia="zh-CN" w:bidi="ar"/>
              </w:rPr>
              <w:t>年龄</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val="0"/>
                <w:i w:val="0"/>
                <w:caps w:val="0"/>
                <w:color w:val="000000"/>
                <w:spacing w:val="0"/>
                <w:kern w:val="0"/>
                <w:sz w:val="21"/>
                <w:szCs w:val="21"/>
                <w:u w:val="none"/>
                <w:bdr w:val="none" w:color="auto" w:sz="0" w:space="0"/>
                <w:lang w:val="en-US" w:eastAsia="zh-CN" w:bidi="ar"/>
              </w:rPr>
              <w:t>专业（方向）</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val="0"/>
                <w:i w:val="0"/>
                <w:caps w:val="0"/>
                <w:color w:val="000000"/>
                <w:spacing w:val="0"/>
                <w:kern w:val="0"/>
                <w:sz w:val="21"/>
                <w:szCs w:val="21"/>
                <w:u w:val="none"/>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val="0"/>
                <w:i w:val="0"/>
                <w:caps w:val="0"/>
                <w:color w:val="000000"/>
                <w:spacing w:val="0"/>
                <w:kern w:val="0"/>
                <w:sz w:val="21"/>
                <w:szCs w:val="21"/>
                <w:u w:val="none"/>
                <w:bdr w:val="none" w:color="auto" w:sz="0" w:space="0"/>
                <w:lang w:val="en-US" w:eastAsia="zh-CN" w:bidi="ar"/>
              </w:rPr>
              <w:t>学位</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宋体" w:hAnsi="宋体" w:eastAsia="宋体" w:cs="宋体"/>
                <w:b w:val="0"/>
                <w:i w:val="0"/>
                <w:caps w:val="0"/>
                <w:color w:val="000000"/>
                <w:spacing w:val="0"/>
                <w:kern w:val="0"/>
                <w:sz w:val="21"/>
                <w:szCs w:val="21"/>
                <w:u w:val="none"/>
                <w:bdr w:val="none" w:color="auto" w:sz="0" w:space="0"/>
                <w:lang w:val="en-US" w:eastAsia="zh-CN" w:bidi="ar"/>
              </w:rPr>
              <w:t>其他条件</w:t>
            </w:r>
          </w:p>
        </w:tc>
        <w:tc>
          <w:tcPr>
            <w:tcW w:w="263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1"/>
                <w:szCs w:val="21"/>
                <w:u w:val="none"/>
              </w:rPr>
            </w:pPr>
          </w:p>
        </w:tc>
        <w:tc>
          <w:tcPr>
            <w:tcW w:w="70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1"/>
                <w:szCs w:val="21"/>
                <w:u w:val="none"/>
              </w:rPr>
            </w:pPr>
          </w:p>
        </w:tc>
      </w:tr>
      <w:tr>
        <w:tblPrEx>
          <w:tblLayout w:type="fixed"/>
          <w:tblCellMar>
            <w:top w:w="0" w:type="dxa"/>
            <w:left w:w="0" w:type="dxa"/>
            <w:bottom w:w="0" w:type="dxa"/>
            <w:right w:w="0" w:type="dxa"/>
          </w:tblCellMar>
        </w:tblPrEx>
        <w:trPr>
          <w:trHeight w:val="1087"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ascii="仿宋_GB2312" w:hAnsi="微软雅黑" w:eastAsia="仿宋_GB2312" w:cs="仿宋_GB2312"/>
                <w:b w:val="0"/>
                <w:i w:val="0"/>
                <w:caps w:val="0"/>
                <w:color w:val="000000"/>
                <w:spacing w:val="0"/>
                <w:kern w:val="0"/>
                <w:sz w:val="24"/>
                <w:szCs w:val="24"/>
                <w:u w:val="none"/>
                <w:bdr w:val="none" w:color="auto" w:sz="0" w:space="0"/>
                <w:lang w:val="en-US" w:eastAsia="zh-CN" w:bidi="ar"/>
              </w:rPr>
              <w:t>思政教学部</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思想政治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理论课教师</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马克思主义基本原理、马克思主义发展史、马克思主义中国化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研究、思想政治教育</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研究生</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中共党员</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能够承担：思想道德修养与法律基础、毛泽东思想和中国特色社会主义理论体系概论、形势与政策、中国近现代史纲要、马克思主义基本原理等课程的教学科研任务</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1548"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基础教育部</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中文教师</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语言学及应用语言学、汉语言文字学、比较文学与世界文学</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 </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能够承担：语文学科的教学工作，具有一定的教科研能力</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1119"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软件工程系</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软件教师1</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计算机科学与技术、软件工程、计算机与信息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科学、智能科学与技术</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研究生</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具备较强的项目实践能力，能承担人工智能项目建设任务</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能够承担：《Java程序设计》《C语言程序设计》《Python程序设计》《分布式应用软件开发》等相关课程教学任务；项目开发与管理任务；带领青年教师开展教科研工作</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927" w:hRule="atLeast"/>
        </w:trPr>
        <w:tc>
          <w:tcPr>
            <w:tcW w:w="81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软件工程系</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软件教师2</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vMerge w:val="restart"/>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vMerge w:val="restart"/>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计算机科学与技术、计算机软件与理论、软件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工程</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 </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能够承担：《软件工程》《面向对象程序设计》《Java企业级应用》等软件工程相关专业课程教学、实训和教科研任务</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2175" w:hRule="atLeast"/>
        </w:trPr>
        <w:tc>
          <w:tcPr>
            <w:tcW w:w="81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4"/>
                <w:szCs w:val="24"/>
                <w:u w:val="none"/>
              </w:rPr>
            </w:pP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软件教师3</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4"/>
                <w:szCs w:val="24"/>
                <w:u w:val="none"/>
              </w:rPr>
            </w:pPr>
          </w:p>
        </w:tc>
        <w:tc>
          <w:tcPr>
            <w:tcW w:w="1017"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4"/>
                <w:szCs w:val="24"/>
                <w:u w:val="none"/>
              </w:rPr>
            </w:pP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计算机科学与技术、计算机软件与理论、软件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工程</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有大数据方向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工作经验者优先</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能够承担：《Java程序设计》《C语言程序设计》《Python程序设计》《Hadoop技术》《Spark编程技术》《Hive》《Zookeeper》《大数据分析与处理》《大数据可视化》等相关课程教学任务、指导学生实训、教科研任务</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841" w:hRule="atLeast"/>
        </w:trPr>
        <w:tc>
          <w:tcPr>
            <w:tcW w:w="816" w:type="dxa"/>
            <w:vMerge w:val="restart"/>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信息管理系</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会计教师1</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2</w:t>
            </w:r>
          </w:p>
        </w:tc>
        <w:tc>
          <w:tcPr>
            <w:tcW w:w="633" w:type="dxa"/>
            <w:vMerge w:val="restart"/>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vMerge w:val="restart"/>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会计（学）、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财务管理</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全日制本科毕业、学士学位及以上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具备中级会计师资格以上人员,年龄可以放宽至40周岁</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负责报销业务、基建核算及编制会计报表、</w:t>
            </w: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内控制度建设、财务信息化建设、财务业务培训、部门新闻宣传</w:t>
            </w: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等，能够承担会计及相关课程教学任务，</w:t>
            </w: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录用后至少在财务处工作五年</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考试</w:t>
            </w:r>
          </w:p>
        </w:tc>
      </w:tr>
      <w:tr>
        <w:tblPrEx>
          <w:tblLayout w:type="fixed"/>
          <w:tblCellMar>
            <w:top w:w="0" w:type="dxa"/>
            <w:left w:w="0" w:type="dxa"/>
            <w:bottom w:w="0" w:type="dxa"/>
            <w:right w:w="0" w:type="dxa"/>
          </w:tblCellMar>
        </w:tblPrEx>
        <w:trPr>
          <w:trHeight w:val="724" w:hRule="atLeast"/>
        </w:trPr>
        <w:tc>
          <w:tcPr>
            <w:tcW w:w="816" w:type="dxa"/>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4"/>
                <w:szCs w:val="24"/>
                <w:u w:val="none"/>
              </w:rPr>
            </w:pP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会计教师2</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2</w:t>
            </w:r>
          </w:p>
        </w:tc>
        <w:tc>
          <w:tcPr>
            <w:tcW w:w="633"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4"/>
                <w:szCs w:val="24"/>
                <w:u w:val="none"/>
              </w:rPr>
            </w:pPr>
          </w:p>
        </w:tc>
        <w:tc>
          <w:tcPr>
            <w:tcW w:w="1017"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4"/>
                <w:szCs w:val="24"/>
                <w:u w:val="none"/>
              </w:rPr>
            </w:pP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会计（学）、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税务会计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国际会计、涉外会计</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有海外留学背景者优先考虑</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能够承担课程：税法、公司会计、管理会计、财务报表分析等</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833"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信息管理系</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电子商务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教师</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电子商务</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有海外留学背景者优先考虑</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能够承担课程：跨境电商、电商运营、移动商务、网络营销、网店美工、网页设计等</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840"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网络工程系</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网络教师</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2</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网络技术</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 </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核心专业课程教学（网络攻击与防护、防火墙部署与维护、web应用安全、入侵检测与VPN等）计算机网络体系架构，Windows、Linux操作系统及数据库，有3年以上网络工程项目相关经验，能够承担项目管理、网络安全、无线网络、综合布线等方面的课程</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896"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数码设计系</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数码教师1</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设计学、视觉传达设计、艺术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设计</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 </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能够承担：广告设计与制作专业《平面广告设计》《图形创意》《字体设计》《图案设计》《UI设计》等课程的教学工作，参与广告设计与制作专业建设</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1646"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数码设计系</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数码教师2</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艺术设计、数字媒体艺术</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全日制硕士毕业、学士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学位及以上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 </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UI设计》《交互设计》《VR引擎地编制作》《模型设置》《渲染贴图》《3D特效》及等课程的教学工作；熟练使用虚幻4引擎、Unity3D等VR虚拟现实制作软件及交互技术，有丰富的行业工作经验(VR虚拟现实制作，游戏制作)；了解行业内各种软件特性；具备良好的色彩感觉和逻辑思维，对画面的整体视觉效果有较高的审美能力</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1607"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数码设计系</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数码教师3</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美术教育、油画、艺术设计</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 </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能够承担：《设计素描》《设计色彩》《设计基础》《速写》《手绘效果图》等课程的教学工作；绘画能力强，精通各类设计软件</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2620"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后勤处</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校医室医生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（教辅专业技术岗位）</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内科学</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全日制本科及以上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具有执业医师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专业技术资格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证书</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熟悉学校师生的常见病及简单外伤处理并了解学校常见流行病的预防及处理，能为全校师生提供初步的急诊、医疗服务工作；负责学校师生的日常医疗管理工作，规划、组织学生年度体检，建立全面的师生健康档案；指导学校做好健康教育、建康管理、卫生管理及师生保障与各类制度的管理；独立工作能力强，有良好的沟通能力、团队协作精神</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考试</w:t>
            </w:r>
          </w:p>
        </w:tc>
      </w:tr>
      <w:tr>
        <w:tblPrEx>
          <w:tblLayout w:type="fixed"/>
          <w:tblCellMar>
            <w:top w:w="0" w:type="dxa"/>
            <w:left w:w="0" w:type="dxa"/>
            <w:bottom w:w="0" w:type="dxa"/>
            <w:right w:w="0" w:type="dxa"/>
          </w:tblCellMar>
        </w:tblPrEx>
        <w:trPr>
          <w:trHeight w:val="930"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图书馆</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采编部人员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（教辅专业技术岗位）</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图书馆学、情报学、信息管理与信息系统</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全日制本科毕业、学士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学位及以上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具有副研究馆员及以上职称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人员，年龄可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放宽到45周岁</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　有采编工作经验、科研能力强者优先</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考试</w:t>
            </w:r>
          </w:p>
        </w:tc>
      </w:tr>
      <w:tr>
        <w:tblPrEx>
          <w:tblLayout w:type="fixed"/>
          <w:tblCellMar>
            <w:top w:w="0" w:type="dxa"/>
            <w:left w:w="0" w:type="dxa"/>
            <w:bottom w:w="0" w:type="dxa"/>
            <w:right w:w="0" w:type="dxa"/>
          </w:tblCellMar>
        </w:tblPrEx>
        <w:trPr>
          <w:trHeight w:val="1139" w:hRule="atLeast"/>
        </w:trPr>
        <w:tc>
          <w:tcPr>
            <w:tcW w:w="81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学生处</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心理健康教育工作人员（教辅专业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技术岗位）</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35周岁及以下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4C5157"/>
                <w:spacing w:val="0"/>
                <w:kern w:val="0"/>
                <w:sz w:val="24"/>
                <w:szCs w:val="24"/>
                <w:u w:val="none"/>
                <w:bdr w:val="none" w:color="auto" w:sz="0" w:space="0"/>
                <w:lang w:val="en-US" w:eastAsia="zh-CN" w:bidi="ar"/>
              </w:rPr>
              <w:t>心理学类</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中共党员，有心理咨询资格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证书</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协助做好学校大学生心理健康教育工作：承担个体心理咨询、团体心理辅导、参与危机干预；组织开展主题沙龙；心理健康中心其他项目</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2210" w:hRule="atLeast"/>
        </w:trPr>
        <w:tc>
          <w:tcPr>
            <w:tcW w:w="816" w:type="dxa"/>
            <w:vMerge w:val="restart"/>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学生处</w:t>
            </w: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辅导员1</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男</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30周岁及以下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中共党员,曾担任校（院）级学生会、团委部长以上干部（或班长、团支部书记）</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思想政治理论扎实，有较强组织能力，管理能力，协调沟通能力，善于处理学生突发事件，做好学生日常思想政治教育、学生课外活动开展、学风建设、心理健康教育、资助及日常教育管理与服务等工作，需入住男生公寓宿舍至少入住3年</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r>
        <w:tblPrEx>
          <w:tblLayout w:type="fixed"/>
          <w:tblCellMar>
            <w:top w:w="0" w:type="dxa"/>
            <w:left w:w="0" w:type="dxa"/>
            <w:bottom w:w="0" w:type="dxa"/>
            <w:right w:w="0" w:type="dxa"/>
          </w:tblCellMar>
        </w:tblPrEx>
        <w:trPr>
          <w:trHeight w:val="2256" w:hRule="atLeast"/>
        </w:trPr>
        <w:tc>
          <w:tcPr>
            <w:tcW w:w="816" w:type="dxa"/>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4C5157"/>
                <w:spacing w:val="0"/>
                <w:sz w:val="24"/>
                <w:szCs w:val="24"/>
                <w:u w:val="none"/>
              </w:rPr>
            </w:pPr>
          </w:p>
        </w:tc>
        <w:tc>
          <w:tcPr>
            <w:tcW w:w="12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辅导员2</w:t>
            </w:r>
          </w:p>
        </w:tc>
        <w:tc>
          <w:tcPr>
            <w:tcW w:w="6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1</w:t>
            </w:r>
          </w:p>
        </w:tc>
        <w:tc>
          <w:tcPr>
            <w:tcW w:w="6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女</w:t>
            </w:r>
          </w:p>
        </w:tc>
        <w:tc>
          <w:tcPr>
            <w:tcW w:w="10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30周岁及以下</w:t>
            </w:r>
          </w:p>
        </w:tc>
        <w:tc>
          <w:tcPr>
            <w:tcW w:w="14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不限</w:t>
            </w:r>
          </w:p>
        </w:tc>
        <w:tc>
          <w:tcPr>
            <w:tcW w:w="96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全日制硕士研究生及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以上</w:t>
            </w:r>
          </w:p>
        </w:tc>
        <w:tc>
          <w:tcPr>
            <w:tcW w:w="1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中共党员,曾担任校（院）级学生会、团委部长以上干部（或班长、团支部书记）</w:t>
            </w:r>
          </w:p>
        </w:tc>
        <w:tc>
          <w:tcPr>
            <w:tcW w:w="26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思想政治理论扎实，有较强组织能力，管理能力，协调沟通能力，善于处理学生突发事件，做好学生日常思想政治教育、学生课外活动开展、学风建设、心理健康教育、资助及日常教育管理与服务等工作，需入住女生公寓宿舍至少入住3年</w:t>
            </w:r>
          </w:p>
        </w:tc>
        <w:tc>
          <w:tcPr>
            <w:tcW w:w="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4"/>
                <w:szCs w:val="32"/>
                <w:u w:val="none"/>
              </w:rPr>
            </w:pPr>
            <w:r>
              <w:rPr>
                <w:rFonts w:hint="default" w:ascii="仿宋_GB2312" w:hAnsi="微软雅黑" w:eastAsia="仿宋_GB2312" w:cs="仿宋_GB2312"/>
                <w:b w:val="0"/>
                <w:i w:val="0"/>
                <w:caps w:val="0"/>
                <w:color w:val="000000"/>
                <w:spacing w:val="0"/>
                <w:kern w:val="0"/>
                <w:sz w:val="24"/>
                <w:szCs w:val="24"/>
                <w:u w:val="none"/>
                <w:bdr w:val="none" w:color="auto" w:sz="0" w:space="0"/>
                <w:lang w:val="en-US" w:eastAsia="zh-CN" w:bidi="ar"/>
              </w:rPr>
              <w:t>考核</w:t>
            </w:r>
          </w:p>
        </w:tc>
      </w:tr>
    </w:tbl>
    <w:p/>
    <w:sectPr>
      <w:pgSz w:w="11906" w:h="16838"/>
      <w:pgMar w:top="1440" w:right="283" w:bottom="1440" w:left="2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AE0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大额花花路</cp:lastModifiedBy>
  <dcterms:modified xsi:type="dcterms:W3CDTF">2019-08-22T09:25:43Z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