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5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85"/>
        <w:gridCol w:w="1155"/>
        <w:gridCol w:w="720"/>
        <w:gridCol w:w="615"/>
        <w:gridCol w:w="3495"/>
        <w:gridCol w:w="1020"/>
        <w:gridCol w:w="945"/>
        <w:gridCol w:w="66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所报专业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综合 成绩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排名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毕业学校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体检结果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考察结果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555555"/>
                <w:sz w:val="20"/>
                <w:szCs w:val="20"/>
                <w:bdr w:val="none" w:color="auto" w:sz="0" w:space="0"/>
              </w:rPr>
              <w:t>是否  拟录取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张杨菲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87.86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江西中医药高等专科学校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555555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汤 莹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84.30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无锡卫生高等职业技术学校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555555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袁正东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实验员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80.33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徐州医科大学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555555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陆金良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肛肠外科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77.67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南京中医药大学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555555"/>
                <w:sz w:val="20"/>
                <w:szCs w:val="20"/>
                <w:bdr w:val="none" w:color="auto" w:sz="0" w:space="0"/>
              </w:rPr>
              <w:t>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555555"/>
                <w:sz w:val="20"/>
                <w:szCs w:val="20"/>
                <w:bdr w:val="none" w:color="auto" w:sz="0" w:space="0"/>
              </w:rPr>
              <w:t>注：1、本单位监督部门--监察科，监督电话：81196604</w:t>
            </w:r>
            <w:r>
              <w:rPr>
                <w:rFonts w:ascii="color:#555555;font-weight:normal;font-style:normal;font-size:10." w:hAnsi="color:#555555;font-weight:normal;font-style:normal;font-size:10." w:eastAsia="color:#555555;font-weight:normal;font-style:normal;font-size:10." w:cs="color:#555555;font-weight:normal;font-style:normal;font-size:10."/>
                <w:b w:val="0"/>
                <w:i w:val="0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555555"/>
                <w:sz w:val="20"/>
                <w:szCs w:val="20"/>
                <w:bdr w:val="none" w:color="auto" w:sz="0" w:space="0"/>
              </w:rPr>
              <w:t>  2、公示时间：8月16日--8月22日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lor:#555555;font-weight:normal;font-style:normal;font-size:10.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23168"/>
    <w:rsid w:val="2C02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2019-08-16T03:51:00Z</dcterms:created>
  <dc:creator>张翠</dc:creator>
  <cp:lastModifiedBy>张翠</cp:lastModifiedBy>
  <dcterms:modified xsi:type="dcterms:W3CDTF">2019-08-16T03:51:25Z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