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13" w:beforeAutospacing="0" w:after="0" w:afterAutospacing="0"/>
        <w:ind w:left="0" w:right="0" w:firstLine="2860"/>
        <w:jc w:val="left"/>
      </w:pPr>
      <w:r>
        <w:rPr>
          <w:rFonts w:hint="eastAsia" w:ascii="宋体" w:hAnsi="宋体" w:eastAsia="宋体" w:cs="宋体"/>
          <w:b w:val="0"/>
          <w:i w:val="0"/>
          <w:caps w:val="0"/>
          <w:color w:val="000000"/>
          <w:spacing w:val="0"/>
          <w:kern w:val="0"/>
          <w:sz w:val="44"/>
          <w:szCs w:val="44"/>
          <w:lang w:val="en-US" w:eastAsia="zh-CN" w:bidi="ar"/>
        </w:rPr>
        <w:t>报考条件</w:t>
      </w:r>
    </w:p>
    <w:p>
      <w:pPr>
        <w:keepNext w:val="0"/>
        <w:keepLines w:val="0"/>
        <w:widowControl/>
        <w:suppressLineNumbers w:val="0"/>
        <w:spacing w:before="113" w:beforeAutospacing="0" w:after="0" w:afterAutospacing="0"/>
        <w:ind w:left="0" w:right="0" w:firstLine="361"/>
        <w:jc w:val="left"/>
      </w:pPr>
      <w:r>
        <w:rPr>
          <w:rFonts w:hint="eastAsia" w:ascii="宋体" w:hAnsi="宋体" w:eastAsia="宋体" w:cs="宋体"/>
          <w:b/>
          <w:i w:val="0"/>
          <w:caps w:val="0"/>
          <w:color w:val="000000"/>
          <w:spacing w:val="0"/>
          <w:kern w:val="0"/>
          <w:sz w:val="36"/>
          <w:szCs w:val="36"/>
          <w:lang w:val="en-US" w:eastAsia="zh-CN" w:bidi="ar"/>
        </w:rPr>
        <w:t>考全科：</w:t>
      </w:r>
    </w:p>
    <w:p>
      <w:pPr>
        <w:keepNext w:val="0"/>
        <w:keepLines w:val="0"/>
        <w:widowControl/>
        <w:suppressLineNumbers w:val="0"/>
        <w:spacing w:before="0" w:beforeAutospacing="0" w:after="0" w:afterAutospacing="0" w:line="288" w:lineRule="atLeast"/>
        <w:ind w:left="0" w:right="0" w:firstLine="480"/>
        <w:jc w:val="left"/>
      </w:pPr>
      <w:r>
        <w:rPr>
          <w:rFonts w:ascii="微软雅黑" w:hAnsi="微软雅黑" w:eastAsia="微软雅黑" w:cs="微软雅黑"/>
          <w:b w:val="0"/>
          <w:i w:val="0"/>
          <w:caps w:val="0"/>
          <w:color w:val="000000"/>
          <w:spacing w:val="0"/>
          <w:kern w:val="0"/>
          <w:sz w:val="24"/>
          <w:szCs w:val="24"/>
          <w:lang w:val="en-US" w:eastAsia="zh-CN" w:bidi="ar"/>
        </w:rPr>
        <w:t>凡中华人民共和国公民和获准在我国境内就业的外籍人员，具备以下条件之一者，均可申请参加执业药师职业资格考试：</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（一）取得药学类、中药学类专业大专学历，在药学或中药学岗位工作满5年；</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（二）取得药学类、中药学类专业大学本科学历或学士学位，在药学或中药学岗位工作满3年；</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（三）取得药学类、中药学类专业第二学士学位、研究生班毕业或硕士学位，在药学或中药学岗位工作满1年；</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（四）取得药学类、中药学类专业博士学位；</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（五）取得药学类、中药学类相关专业相应学历或学位的人员，在药学或中药学岗位工作的年限相应增加</w:t>
      </w:r>
      <w:bookmarkStart w:id="0" w:name="_GoBack"/>
      <w:bookmarkEnd w:id="0"/>
      <w:r>
        <w:rPr>
          <w:rFonts w:hint="eastAsia" w:ascii="微软雅黑" w:hAnsi="微软雅黑" w:eastAsia="微软雅黑" w:cs="微软雅黑"/>
          <w:b w:val="0"/>
          <w:i w:val="0"/>
          <w:caps w:val="0"/>
          <w:color w:val="000000"/>
          <w:spacing w:val="0"/>
          <w:kern w:val="0"/>
          <w:sz w:val="24"/>
          <w:szCs w:val="24"/>
          <w:lang w:val="en-US" w:eastAsia="zh-CN" w:bidi="ar"/>
        </w:rPr>
        <w:t>1年。</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531"/>
        <w:jc w:val="left"/>
      </w:pPr>
      <w:r>
        <w:rPr>
          <w:rFonts w:hint="eastAsia" w:ascii="宋体" w:hAnsi="宋体" w:eastAsia="宋体" w:cs="宋体"/>
          <w:b/>
          <w:i w:val="0"/>
          <w:caps w:val="0"/>
          <w:color w:val="000000"/>
          <w:spacing w:val="0"/>
          <w:kern w:val="0"/>
          <w:sz w:val="36"/>
          <w:szCs w:val="36"/>
          <w:lang w:val="en-US" w:eastAsia="zh-CN" w:bidi="ar"/>
        </w:rPr>
        <w:t>部分科目免试：</w:t>
      </w:r>
    </w:p>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6E3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2019-08-14T01:46:51Z</dcterms:created>
  <dc:creator>Administrator</dc:creator>
  <cp:lastModifiedBy>Administrator</cp:lastModifiedBy>
  <dcterms:modified xsi:type="dcterms:W3CDTF">2019-08-14T01:47:09Z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