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222222"/>
          <w:spacing w:val="0"/>
          <w:sz w:val="26"/>
          <w:szCs w:val="26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222222"/>
          <w:spacing w:val="0"/>
          <w:sz w:val="26"/>
          <w:szCs w:val="26"/>
          <w:shd w:val="clear" w:fill="FFFFFF"/>
        </w:rPr>
        <w:t>余姚市文物保护管理所公开招聘编外人员拟录用人员公示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45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949"/>
        <w:gridCol w:w="712"/>
        <w:gridCol w:w="2244"/>
        <w:gridCol w:w="950"/>
        <w:gridCol w:w="949"/>
        <w:gridCol w:w="11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9FCFE"/>
                <w:lang w:val="en-US" w:eastAsia="zh-CN" w:bidi="ar"/>
              </w:rPr>
              <w:t>周熠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王阳明故居讲解员</w:t>
            </w:r>
          </w:p>
        </w:tc>
        <w:tc>
          <w:tcPr>
            <w:tcW w:w="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9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1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222222"/>
          <w:spacing w:val="0"/>
          <w:sz w:val="26"/>
          <w:szCs w:val="2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968C4"/>
    <w:rsid w:val="01596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2019-08-12T07:40:00Z</dcterms:created>
  <dc:creator>ASUS</dc:creator>
  <cp:lastModifiedBy>ASUS</cp:lastModifiedBy>
  <dcterms:modified xsi:type="dcterms:W3CDTF">2019-08-12T07:41:00Z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