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偃师市特定选招绩效考核细则</w:t>
      </w:r>
      <w:bookmarkEnd w:id="0"/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工龄：每年</w:t>
      </w:r>
      <w:r>
        <w:rPr>
          <w:rFonts w:ascii="仿宋_GB2312" w:hAnsi="仿宋_GB2312" w:eastAsia="仿宋_GB2312" w:cs="仿宋_GB2312"/>
          <w:sz w:val="32"/>
          <w:szCs w:val="32"/>
        </w:rPr>
        <w:t>0.5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分，不满一年不得分，最高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学历：按第一学历，本科及以上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分，专科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分，中专（中师）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个人荣誉：省部级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分，洛阳市厅级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分，偃师市级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分，偃师市直部门（含本单位）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分。部队三等功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分。以上荣誉（军功）不累计，以最高等级计算。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年度考核：近五年（</w:t>
      </w:r>
      <w:r>
        <w:rPr>
          <w:rFonts w:ascii="仿宋_GB2312" w:hAnsi="仿宋_GB2312" w:eastAsia="仿宋_GB2312" w:cs="仿宋_GB2312"/>
          <w:sz w:val="32"/>
          <w:szCs w:val="32"/>
        </w:rPr>
        <w:t>2014-2018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年）优秀一次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分，合格一次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分，最高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民主测评：由主管委局班子成员及本次报考人员参加，测评内容为德能勤绩廉；测评等级分为优秀（</w:t>
      </w:r>
      <w:r>
        <w:rPr>
          <w:rFonts w:ascii="仿宋_GB2312" w:hAnsi="仿宋_GB2312" w:eastAsia="仿宋_GB2312" w:cs="仿宋_GB2312"/>
          <w:sz w:val="32"/>
          <w:szCs w:val="32"/>
        </w:rPr>
        <w:t>15%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）、良好（</w:t>
      </w:r>
      <w:r>
        <w:rPr>
          <w:rFonts w:ascii="仿宋_GB2312" w:hAnsi="仿宋_GB2312" w:eastAsia="仿宋_GB2312" w:cs="仿宋_GB231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）、一般（</w:t>
      </w:r>
      <w:r>
        <w:rPr>
          <w:rFonts w:ascii="仿宋_GB2312" w:hAnsi="仿宋_GB2312" w:eastAsia="仿宋_GB2312" w:cs="仿宋_GB2312"/>
          <w:sz w:val="32"/>
          <w:szCs w:val="32"/>
        </w:rPr>
        <w:t>35%</w:t>
      </w:r>
      <w:r>
        <w:rPr>
          <w:rFonts w:hint="eastAsia" w:ascii="仿宋_GB2312" w:hAnsi="仿宋_GB2312" w:eastAsia="仿宋_GB2312" w:cs="仿宋_GB2312"/>
          <w:sz w:val="32"/>
          <w:szCs w:val="32"/>
        </w:rPr>
        <w:t>）三个等级。优秀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分，良好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分，一般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军转干部、退役士兵政策性安置，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分。由退役军人事务局和用人单位共同认定。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E2D891"/>
    <w:multiLevelType w:val="singleLevel"/>
    <w:tmpl w:val="B7E2D8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B6BD3"/>
    <w:rsid w:val="37DB6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2019-08-07T15:47:00Z</dcterms:created>
  <dc:creator>石虎哥</dc:creator>
  <cp:lastModifiedBy>石虎哥</cp:lastModifiedBy>
  <dcterms:modified xsi:type="dcterms:W3CDTF">2019-08-07T15:47:35Z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