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both"/>
        <w:rPr>
          <w:rFonts w:ascii="Calibri" w:hAnsi="Calibri" w:cs="Calibri"/>
          <w:i w:val="0"/>
          <w:caps w:val="0"/>
          <w:color w:val="4E4E4E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4E4E4E"/>
          <w:spacing w:val="0"/>
          <w:sz w:val="17"/>
          <w:szCs w:val="17"/>
          <w:shd w:val="clear" w:fill="FFFFFF"/>
        </w:rPr>
        <w:t>上海行健职业学院</w:t>
      </w:r>
      <w:r>
        <w:rPr>
          <w:rFonts w:ascii="仿宋" w:hAnsi="仿宋" w:eastAsia="仿宋" w:cs="仿宋"/>
          <w:b/>
          <w:i w:val="0"/>
          <w:caps w:val="0"/>
          <w:color w:val="4E4E4E"/>
          <w:spacing w:val="0"/>
          <w:sz w:val="17"/>
          <w:szCs w:val="17"/>
          <w:bdr w:val="none" w:color="auto" w:sz="0" w:space="0"/>
          <w:shd w:val="clear" w:fill="FFFFFF"/>
        </w:rPr>
        <w:t>招聘岗位及要求</w:t>
      </w:r>
      <w:bookmarkEnd w:id="0"/>
      <w:r>
        <w:rPr>
          <w:rFonts w:ascii="仿宋" w:hAnsi="仿宋" w:eastAsia="仿宋" w:cs="仿宋"/>
          <w:b/>
          <w:i w:val="0"/>
          <w:caps w:val="0"/>
          <w:color w:val="4E4E4E"/>
          <w:spacing w:val="0"/>
          <w:sz w:val="17"/>
          <w:szCs w:val="17"/>
          <w:bdr w:val="none" w:color="auto" w:sz="0" w:space="0"/>
          <w:shd w:val="clear" w:fill="FFFFFF"/>
        </w:rPr>
        <w:t>：</w:t>
      </w:r>
    </w:p>
    <w:tbl>
      <w:tblPr>
        <w:tblpPr w:vertAnchor="text" w:tblpXSpec="left"/>
        <w:tblW w:w="9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995"/>
        <w:gridCol w:w="568"/>
        <w:gridCol w:w="6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5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62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学历、专业、职称及岗位要求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部门</w:t>
            </w:r>
          </w:p>
        </w:tc>
        <w:tc>
          <w:tcPr>
            <w:tcW w:w="5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SimSun-ExtB" w:hAnsi="SimSun-ExtB" w:eastAsia="SimSun-ExtB" w:cs="SimSun-ExtB"/>
                <w:i w:val="0"/>
                <w:caps w:val="0"/>
                <w:color w:val="4E4E4E"/>
                <w:spacing w:val="0"/>
                <w:sz w:val="17"/>
                <w:szCs w:val="17"/>
              </w:rPr>
            </w:pPr>
          </w:p>
        </w:tc>
        <w:tc>
          <w:tcPr>
            <w:tcW w:w="62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SimSun-ExtB" w:hAnsi="SimSun-ExtB" w:eastAsia="SimSun-ExtB" w:cs="SimSun-ExtB"/>
                <w:i w:val="0"/>
                <w:caps w:val="0"/>
                <w:color w:val="4E4E4E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管理类专业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经管系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硕士研究生及以上学历，工商管理类专业，财务金融、商务管理、市场营销等复合型人才。具有双语教学能力、具备海外相关专业留学经历者优先。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影视多媒体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专业教师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艺术系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default" w:ascii="Times New Roman" w:hAnsi="Times New Roman" w:eastAsia="SimSun-ExtB" w:cs="Times New Roman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硕士研究生及以上学历，教育技术学专业，熟悉影视拍摄、编辑，具有企业相关工作经历者或国（境）外设计院校相关专业留学经历者优先。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计算机网络技术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专业教师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信机系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硕士研究生及以上学历，计算机科学与技术、控制科学与工程类、信息与通信工程类专业，熟悉计算机网络、信息安全或云计算技术，具有HCIE/CCIE/H3CIE等相关专业证书者优先。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机电一体化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实训教师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信机系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本科及以上学历，机械工程类专业，具有较强的语言表达和实践操作能力，有企业工作经历或相关职业资格证书者优先。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辅导员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17"/>
                <w:szCs w:val="17"/>
                <w:bdr w:val="none" w:color="auto" w:sz="0" w:space="0"/>
              </w:rPr>
              <w:t>硕士及以上学位，中共党员，具有良好的组织协调能力，有高校思想政治工作经验者优先。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A3C2F"/>
    <w:rsid w:val="6AEA3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2019-08-06T02:22:00Z</dcterms:created>
  <dc:creator>ASUS</dc:creator>
  <cp:lastModifiedBy>ASUS</cp:lastModifiedBy>
  <dcterms:modified xsi:type="dcterms:W3CDTF">2019-08-06T02:22:55Z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