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0" w:beforeAutospacing="0" w:after="180" w:afterAutospacing="0" w:line="360" w:lineRule="auto"/>
        <w:ind w:left="0" w:right="0" w:firstLine="640"/>
        <w:jc w:val="both"/>
        <w:rPr>
          <w:sz w:val="32"/>
          <w:szCs w:val="32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批次安排：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5702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  <w:t>批次</w:t>
            </w:r>
          </w:p>
        </w:tc>
        <w:tc>
          <w:tcPr>
            <w:tcW w:w="57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8"/>
                <w:szCs w:val="28"/>
              </w:rPr>
              <w:t>职位代码及部门</w:t>
            </w:r>
          </w:p>
        </w:tc>
        <w:tc>
          <w:tcPr>
            <w:tcW w:w="18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8"/>
                <w:szCs w:val="28"/>
              </w:rPr>
              <w:t>面谈时间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  <w:t>第一批</w:t>
            </w:r>
          </w:p>
        </w:tc>
        <w:tc>
          <w:tcPr>
            <w:tcW w:w="570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  <w:t>A01宣传文体办、A02经济促进局、A03国土城建和水务局、A06国土城建和水务局、A08环保办、A09环保办、A10安全生产监督管理局、A11综治信访维稳办公室、A15市政办、A16社会工作局、A17审计办、A18审计办、B01文化站、B02文化站、B05不动产登记中心、B06财务结算中心</w:t>
            </w:r>
          </w:p>
        </w:tc>
        <w:tc>
          <w:tcPr>
            <w:tcW w:w="185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  <w:t>8月2日（星期五）具体安排见附件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9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  <w:t>第二批</w:t>
            </w:r>
          </w:p>
        </w:tc>
        <w:tc>
          <w:tcPr>
            <w:tcW w:w="570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  <w:t>A04国土城建和水务局、A05国土城建和水务局、A07南海区监察委员会派驻西樵镇监察组、A12综治信访维稳办公室、A13截污办、A14城乡统筹局、B03房管所、B04房管所</w:t>
            </w:r>
          </w:p>
        </w:tc>
        <w:tc>
          <w:tcPr>
            <w:tcW w:w="185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8"/>
                <w:szCs w:val="28"/>
              </w:rPr>
              <w:t>另行通知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36DAB"/>
    <w:rsid w:val="26436DAB"/>
    <w:rsid w:val="395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styleId="6">
    <w:name w:val="Hyperlink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2019-08-01T02:52:00Z</dcterms:created>
  <dc:creator>张翠</dc:creator>
  <cp:lastModifiedBy>张翠</cp:lastModifiedBy>
  <dcterms:modified xsi:type="dcterms:W3CDTF">2019-08-01T02:55:28Z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